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right"/>
        <w:spacing w:after="0" w:line="360" w:lineRule="auto"/>
        <w:rPr>
          <w:rFonts w:ascii="Times New Roman" w:hAnsi="Times New Roman" w:eastAsia="Times New Roman" w:cs="Times New Roman"/>
          <w:sz w:val="56"/>
          <w:szCs w:val="56"/>
        </w:rPr>
      </w:pPr>
      <w:r>
        <w:rPr>
          <w:rFonts w:ascii="Times New Roman" w:hAnsi="Times New Roman" w:eastAsia="Times New Roman" w:cs="Times New Roman"/>
          <w:sz w:val="56"/>
          <w:szCs w:val="56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56"/>
          <w:szCs w:val="56"/>
        </w:rPr>
      </w:pPr>
      <w:r>
        <w:rPr>
          <w:rFonts w:ascii="Times New Roman" w:hAnsi="Times New Roman" w:eastAsia="Times New Roman" w:cs="Times New Roman"/>
          <w:sz w:val="56"/>
          <w:szCs w:val="56"/>
        </w:rPr>
        <w:t xml:space="preserve">КОНКУРСНОЕ ЗАДАНИЕ КОМПЕТЕНЦИИ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56"/>
          <w:szCs w:val="56"/>
        </w:rPr>
        <w:t xml:space="preserve">«СВАРОЧНЫЕ ТЕХНОЛОГИИ»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2023 г.</w:t>
      </w:r>
      <w:r/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  <w:r/>
    </w:p>
    <w:p>
      <w:pPr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19"/>
          <w:szCs w:val="19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19"/>
          <w:szCs w:val="19"/>
        </w:rPr>
      </w:r>
      <w:r/>
    </w:p>
    <w:sdt>
      <w:sdtPr>
        <w15:appearance w15:val="boundingBox"/>
        <w:id w:val="1103700039"/>
        <w:docPartObj>
          <w:docPartGallery w:val="Table of Contents"/>
          <w:docPartUnique w:val="true"/>
        </w:docPartObj>
        <w:rPr/>
      </w:sdtPr>
      <w:sdtContent>
        <w:p>
          <w:pPr>
            <w:ind w:left="349" w:firstLine="720"/>
            <w:jc w:val="both"/>
            <w:spacing w:after="0" w:line="360" w:lineRule="auto"/>
            <w:rPr>
              <w:rFonts w:ascii="Times New Roman" w:hAnsi="Times New Roman" w:eastAsia="Times New Roman" w:cs="Times New Roman"/>
              <w:b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eastAsia="Times New Roman" w:cs="Times New Roman"/>
              <w:b/>
              <w:color w:val="000000"/>
              <w:sz w:val="28"/>
              <w:szCs w:val="28"/>
            </w:rPr>
            <w:t xml:space="preserve">Конкурсное задание включает в себя следующие разделы:</w:t>
          </w:r>
          <w:r/>
        </w:p>
        <w:p>
          <w:pPr>
            <w:pStyle w:val="952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smallCaps/>
              <w:sz w:val="28"/>
              <w:szCs w:val="28"/>
              <w:lang w:eastAsia="ru-RU"/>
            </w:rPr>
          </w:pPr>
          <w:r>
            <w:rPr/>
            <w:fldChar w:fldCharType="begin"/>
          </w:r>
          <w:r>
            <w:instrText xml:space="preserve">TOC \o "1-3" \h \z \u</w:instrText>
          </w:r>
          <w:r>
            <w:rPr/>
            <w:fldChar w:fldCharType="separate"/>
          </w:r>
          <w:hyperlink w:tooltip="#_Toc126404542" w:anchor="_Toc126404542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1. ОСНОВНЫЕ ТРЕБОВАНИЯ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_Toc126404542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2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smallCaps/>
              <w:sz w:val="28"/>
              <w:szCs w:val="28"/>
              <w:lang w:eastAsia="ru-RU"/>
            </w:rPr>
          </w:pPr>
          <w:r/>
          <w:hyperlink w:tooltip="#_Toc126404543" w:anchor="_Toc126404543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1.1. ОБЩИЕ СВЕДЕНИЯ О ТРЕБОВАНИЯХ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_Toc126404543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2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smallCaps/>
              <w:sz w:val="28"/>
              <w:szCs w:val="28"/>
              <w:lang w:eastAsia="ru-RU"/>
            </w:rPr>
          </w:pPr>
          <w:r/>
          <w:hyperlink w:tooltip="#_Toc126404545" w:anchor="_Toc126404545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1.2. ПЕРЕЧЕНЬ ПРОФЕССИОНАЛЬНЫХ ЗАДАЧ СПЕЦИАЛИСТА ПО КОМПЕТЕНЦИИ «СВАРОЧНЫЕ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_Toc126404545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2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smallCaps/>
              <w:sz w:val="28"/>
              <w:szCs w:val="28"/>
              <w:lang w:eastAsia="ru-RU"/>
            </w:rPr>
          </w:pPr>
          <w:r/>
          <w:hyperlink w:tooltip="#_Toc126404546" w:anchor="_Toc126404546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1.3. ТРЕБОВАНИЯ К СХЕМЕ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_Toc126404546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2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smallCaps/>
              <w:sz w:val="28"/>
              <w:szCs w:val="28"/>
              <w:lang w:eastAsia="ru-RU"/>
            </w:rPr>
          </w:pPr>
          <w:r/>
          <w:hyperlink w:tooltip="#_Toc126404547" w:anchor="_Toc126404547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1.4. СПЕЦИФИКАЦИЯ ОЦЕНКИ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_Toc126404547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2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smallCaps/>
              <w:sz w:val="28"/>
              <w:szCs w:val="28"/>
              <w:lang w:eastAsia="ru-RU"/>
            </w:rPr>
          </w:pPr>
          <w:r/>
          <w:hyperlink w:tooltip="#_Toc126404548" w:anchor="_Toc126404548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1.5. КОНКУРСНОЕ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_Toc126404548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2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smallCaps/>
              <w:sz w:val="28"/>
              <w:szCs w:val="28"/>
              <w:lang w:eastAsia="ru-RU"/>
            </w:rPr>
          </w:pPr>
          <w:r/>
          <w:hyperlink w:tooltip="#_Toc126404549" w:anchor="_Toc126404549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1.5.1. Разработка/выбор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_Toc126404549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2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smallCaps/>
              <w:sz w:val="28"/>
              <w:szCs w:val="28"/>
              <w:lang w:eastAsia="ru-RU"/>
            </w:rPr>
          </w:pPr>
          <w:r/>
          <w:hyperlink w:tooltip="#_Toc126404551" w:anchor="_Toc126404551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1.5.2. Структура модулей конкурсного задания (инвариант/вариатив)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_Toc126404551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3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i/>
              <w:iCs/>
              <w:sz w:val="28"/>
              <w:szCs w:val="28"/>
              <w:lang w:eastAsia="ru-RU"/>
            </w:rPr>
          </w:pPr>
          <w:r/>
          <w:hyperlink w:tooltip="#_Toc126404552" w:anchor="_Toc126404552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2.1. Личный инструмент конкурсанта (ЛИК)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_Toc126404552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3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i/>
              <w:iCs/>
              <w:sz w:val="28"/>
              <w:szCs w:val="28"/>
              <w:lang w:eastAsia="ru-RU"/>
            </w:rPr>
          </w:pPr>
          <w:r/>
          <w:hyperlink w:tooltip="#_Toc126404553" w:anchor="_Toc126404553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2.2.</w:t>
            </w:r>
            <w:r>
              <w:rPr>
                <w:rStyle w:val="925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и инструменты, запрещенные 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_Toc126404553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953"/>
            <w:ind w:left="0"/>
            <w:tabs>
              <w:tab w:val="right" w:pos="9072" w:leader="dot"/>
            </w:tabs>
            <w:rPr>
              <w:rFonts w:ascii="Times New Roman" w:hAnsi="Times New Roman" w:cs="Times New Roman" w:eastAsiaTheme="minorEastAsia"/>
              <w:i/>
              <w:iCs/>
              <w:sz w:val="28"/>
              <w:szCs w:val="28"/>
              <w:lang w:eastAsia="ru-RU"/>
            </w:rPr>
          </w:pPr>
          <w:r/>
          <w:hyperlink w:tooltip="#_Toc126404554" w:anchor="_Toc126404554" w:history="1">
            <w:r>
              <w:rPr>
                <w:rStyle w:val="925"/>
                <w:rFonts w:ascii="Times New Roman" w:hAnsi="Times New Roman" w:cs="Times New Roman"/>
                <w:sz w:val="28"/>
                <w:szCs w:val="28"/>
              </w:rPr>
              <w:t xml:space="preserve">3.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_Toc126404554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r>
            <w:rPr>
              <w:b/>
              <w:bCs/>
            </w:rPr>
            <w:fldChar w:fldCharType="end"/>
          </w:r>
          <w:r/>
        </w:p>
      </w:sdtContent>
    </w:sdt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360"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ИСПОЛЬЗУЕМЫЕ СОКРАЩЕНИЯ</w:t>
      </w:r>
      <w:r/>
    </w:p>
    <w:tbl>
      <w:tblPr>
        <w:tblStyle w:val="982"/>
        <w:tblW w:w="9498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1927"/>
        <w:gridCol w:w="6751"/>
      </w:tblGrid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РД </w:t>
            </w:r>
            <w:r/>
          </w:p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111/ММА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Ручная дуговая сварка плавящимся покрытым электродом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РАД </w:t>
            </w:r>
            <w:r/>
          </w:p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141/TIG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Ручная дуговая сварка неплавящимся электродом в среде защитного газа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283" w:hanging="360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8"/>
                <w:szCs w:val="28"/>
              </w:rPr>
              <w:t xml:space="preserve">МП 135</w:t>
            </w:r>
            <w:r>
              <w:rPr>
                <w:i/>
                <w:color w:val="000000"/>
                <w:sz w:val="28"/>
                <w:szCs w:val="28"/>
              </w:rPr>
              <w:t xml:space="preserve">/</w:t>
            </w:r>
            <w:r>
              <w:rPr>
                <w:i/>
                <w:sz w:val="28"/>
                <w:szCs w:val="28"/>
              </w:rPr>
              <w:t xml:space="preserve">MIG MAG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Частично механизированная сварка (наплавка) плавлением проволокой сплошного сечения в среде защитного газа и их смесей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ТрК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Требования компетенции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ВИК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Визуально-измерительный контроль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РК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Разрушающий контроль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ГИ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Гидравлические испытания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КЗ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Конкурсное задание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ИЛ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Инфраструктурный лист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КО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Критерии оценки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ПЗ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План застройки площадки компетенции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ЛИК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8"/>
                <w:szCs w:val="28"/>
              </w:rPr>
              <w:t xml:space="preserve">Личный инструмент конкурсанта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iCs/>
                <w:sz w:val="28"/>
                <w:szCs w:val="28"/>
              </w:rPr>
              <w:t xml:space="preserve">ТК</w:t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bCs/>
                <w:i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iCs/>
                <w:sz w:val="28"/>
                <w:szCs w:val="28"/>
              </w:rPr>
              <w:t xml:space="preserve">     Технологическая карта</w:t>
            </w:r>
            <w:r/>
          </w:p>
        </w:tc>
      </w:tr>
      <w:tr>
        <w:trPr/>
        <w:tc>
          <w:tcPr>
            <w:tcW w:w="820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6751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</w:r>
            <w:r/>
          </w:p>
        </w:tc>
      </w:tr>
    </w:tbl>
    <w:p>
      <w:pPr>
        <w:ind w:left="360"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ind w:left="360"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vertAlign w:val="subscript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vertAlign w:val="subscript"/>
        </w:rPr>
      </w:r>
      <w:r/>
    </w:p>
    <w:p>
      <w:pPr>
        <w:ind w:left="360" w:hanging="36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</w:rPr>
      </w:pPr>
      <w:r/>
      <w:bookmarkStart w:id="0" w:name="_heading=h.gjdgxs"/>
      <w:r/>
      <w:bookmarkEnd w:id="0"/>
      <w:r>
        <w:br w:type="page" w:clear="all"/>
      </w:r>
      <w:r/>
    </w:p>
    <w:p>
      <w:pPr>
        <w:pStyle w:val="740"/>
        <w:jc w:val="center"/>
        <w:spacing w:before="0" w:after="0" w:line="276" w:lineRule="auto"/>
        <w:rPr>
          <w:rFonts w:ascii="Times New Roman" w:hAnsi="Times New Roman"/>
          <w:szCs w:val="28"/>
        </w:rPr>
      </w:pPr>
      <w:r/>
      <w:bookmarkStart w:id="1" w:name="_Toc126404542"/>
      <w:r>
        <w:rPr>
          <w:rFonts w:ascii="Times New Roman" w:hAnsi="Times New Roman"/>
        </w:rPr>
        <w:t xml:space="preserve">1.</w:t>
      </w:r>
      <w:r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Cs w:val="28"/>
        </w:rPr>
        <w:t xml:space="preserve">ОСНОВНЫЕ ТРЕБОВАНИЯ КОМПЕТЕНЦИИ</w:t>
      </w:r>
      <w:bookmarkEnd w:id="1"/>
      <w:r/>
      <w:r/>
    </w:p>
    <w:p>
      <w:pPr>
        <w:pStyle w:val="740"/>
        <w:ind w:firstLine="700"/>
        <w:jc w:val="center"/>
        <w:spacing w:before="0" w:after="0" w:line="276" w:lineRule="auto"/>
        <w:rPr>
          <w:rFonts w:ascii="Times New Roman" w:hAnsi="Times New Roman"/>
          <w:szCs w:val="28"/>
        </w:rPr>
      </w:pPr>
      <w:r/>
      <w:bookmarkStart w:id="2" w:name="_Toc126404543"/>
      <w:r/>
      <w:r/>
    </w:p>
    <w:p>
      <w:pPr>
        <w:pStyle w:val="740"/>
        <w:ind w:firstLine="700"/>
        <w:jc w:val="center"/>
        <w:spacing w:before="0" w:after="0"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1.1. ОБЩИЕ СВЕДЕНИЯ О ТРЕБОВАНИЯХ КОМПЕТЕНЦИИ</w:t>
      </w:r>
      <w:bookmarkEnd w:id="2"/>
      <w:r/>
      <w:r/>
    </w:p>
    <w:sdt>
      <w:sdtPr>
        <w15:appearance w15:val="boundingBox"/>
        <w:id w:val="-1341927386"/>
        <w:tag w:val="goog_rdk_0"/>
        <w:rPr>
          <w:rFonts w:ascii="Times New Roman" w:hAnsi="Times New Roman"/>
          <w:szCs w:val="28"/>
        </w:rPr>
      </w:sdtPr>
      <w:sdtContent>
        <w:p>
          <w:pPr>
            <w:pStyle w:val="740"/>
            <w:ind w:firstLine="709"/>
            <w:jc w:val="both"/>
            <w:spacing w:before="0" w:after="0" w:line="276" w:lineRule="auto"/>
            <w:rPr>
              <w:rFonts w:ascii="Times New Roman" w:hAnsi="Times New Roman"/>
              <w:szCs w:val="28"/>
              <w:lang w:val="ru-RU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bookmarkStart w:id="3" w:name="_Toc126404544"/>
          <w:r>
            <w:rPr>
              <w:rFonts w:ascii="Times New Roman" w:hAnsi="Times New Roman"/>
              <w:szCs w:val="28"/>
              <w:lang w:val="ru-RU"/>
            </w:rPr>
            <w:t xml:space="preserve">Требования компетенции (</w:t>
          </w:r>
          <w:r>
            <w:rPr>
              <w:rFonts w:ascii="Times New Roman" w:hAnsi="Times New Roman"/>
              <w:szCs w:val="28"/>
              <w:lang w:val="ru-RU"/>
            </w:rPr>
            <w:t xml:space="preserve">ТрК</w:t>
          </w:r>
          <w:r>
            <w:rPr>
              <w:rFonts w:ascii="Times New Roman" w:hAnsi="Times New Roman"/>
              <w:szCs w:val="28"/>
              <w:lang w:val="ru-RU"/>
            </w:rPr>
            <w:t xml:space="preserve">) «Сварочные технологии» определяют знания, умения, навыки и трудовые функции, которые лежат в основе наиболее актуальных требований работодателей отрасли. </w:t>
          </w:r>
          <w:bookmarkEnd w:id="3"/>
          <w:r/>
        </w:p>
      </w:sdtContent>
    </w:sdt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40"/>
        <w:ind w:firstLine="709"/>
        <w:jc w:val="center"/>
        <w:spacing w:before="0" w:after="0" w:line="276" w:lineRule="auto"/>
        <w:rPr>
          <w:rFonts w:ascii="Times New Roman" w:hAnsi="Times New Roman"/>
          <w:szCs w:val="28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4" w:name="_Toc126404545"/>
      <w:r>
        <w:rPr>
          <w:rFonts w:ascii="Times New Roman" w:hAnsi="Times New Roman"/>
          <w:szCs w:val="28"/>
          <w:lang w:val="ru-RU"/>
        </w:rPr>
        <w:t xml:space="preserve">1.2. ПЕРЕЧЕНЬ ПРОФЕССИОНАЛЬНЫХ ЗАДАЧ СПЕЦИАЛИСТА ПО КОМПЕТЕНЦИИ «СВАРОЧНЫЕ ТЕХНОЛОГИИ»</w:t>
      </w:r>
      <w:bookmarkEnd w:id="4"/>
      <w:r/>
      <w:r/>
    </w:p>
    <w:p>
      <w:pPr>
        <w:jc w:val="right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jc w:val="right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Таблица №1</w:t>
      </w:r>
      <w:r/>
    </w:p>
    <w:p>
      <w:pPr>
        <w:jc w:val="right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tbl>
      <w:tblPr>
        <w:tblStyle w:val="983"/>
        <w:tblW w:w="9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92d050"/>
            <w:tcW w:w="6810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Организация работы и охрана труда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8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Стандарты и законодательство, в области охраны труда, техники безопасности и гигиены в сварочной отрасли;</w:t>
            </w:r>
            <w:r/>
          </w:p>
          <w:p>
            <w:pPr>
              <w:numPr>
                <w:ilvl w:val="0"/>
                <w:numId w:val="8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Ассортимент, применение и обслуживание средств индивидуальной защиты, применяемых в отрасли при производстве сварочных работ;</w:t>
            </w:r>
            <w:r/>
          </w:p>
          <w:p>
            <w:pPr>
              <w:numPr>
                <w:ilvl w:val="0"/>
                <w:numId w:val="8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Выбор и использование средств защиты, связанных со специфическими или опасными задачами;</w:t>
            </w:r>
            <w:r/>
          </w:p>
          <w:p>
            <w:pPr>
              <w:numPr>
                <w:ilvl w:val="0"/>
                <w:numId w:val="10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Терминологию и данные по безопасности, предоставленные производителями;</w:t>
            </w:r>
            <w:r/>
          </w:p>
          <w:p>
            <w:pPr>
              <w:numPr>
                <w:ilvl w:val="0"/>
                <w:numId w:val="10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Требования к эффективной организации и производству сварочных работ, а также их воздействие на окружающую среду;</w:t>
            </w:r>
            <w:r/>
          </w:p>
          <w:p>
            <w:pPr>
              <w:numPr>
                <w:ilvl w:val="0"/>
                <w:numId w:val="10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Основные математические операции и преобразование величин;</w:t>
            </w:r>
            <w:r/>
          </w:p>
          <w:p>
            <w:pPr>
              <w:numPr>
                <w:ilvl w:val="0"/>
                <w:numId w:val="10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Геометрические принципы, технологии и расчеты.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11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Обеспечить безопасность труда по отношению к себе и окружающим;</w:t>
            </w:r>
            <w:r/>
          </w:p>
          <w:p>
            <w:pPr>
              <w:numPr>
                <w:ilvl w:val="0"/>
                <w:numId w:val="1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Выбирать, применять и обслуживать средства индивидуальной защиты в соответствии с требованиями;</w:t>
            </w:r>
            <w:r/>
          </w:p>
          <w:p>
            <w:pPr>
              <w:numPr>
                <w:ilvl w:val="0"/>
                <w:numId w:val="1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Распознавать опасные ситуации и принимать надлежащие меры в отношении собственной безопасности и безопасности иных лиц;</w:t>
            </w:r>
            <w:r/>
          </w:p>
          <w:p>
            <w:pPr>
              <w:numPr>
                <w:ilvl w:val="0"/>
                <w:numId w:val="1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Соблюдать последовательность выполнения производственных операций (процессов);</w:t>
            </w:r>
            <w:r/>
          </w:p>
          <w:p>
            <w:pPr>
              <w:numPr>
                <w:ilvl w:val="0"/>
                <w:numId w:val="1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Определять габаритные размеры и идентифицировать сварочные обозначения;</w:t>
            </w:r>
            <w:r/>
          </w:p>
          <w:p>
            <w:pPr>
              <w:numPr>
                <w:ilvl w:val="0"/>
                <w:numId w:val="1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Следовать инструкциям безопасности производителей оборудования, инструмента и материалов;</w:t>
            </w:r>
            <w:r/>
          </w:p>
          <w:p>
            <w:pPr>
              <w:numPr>
                <w:ilvl w:val="0"/>
                <w:numId w:val="11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Поддерживать чистоту и порядок на рабочем месте;</w:t>
            </w:r>
            <w:r/>
          </w:p>
          <w:p>
            <w:pPr>
              <w:numPr>
                <w:ilvl w:val="0"/>
                <w:numId w:val="11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работу в согласованные сроки.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Технологии подготовки и сборки, сварочные материалы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1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Сборочные и сварочные(рабочие) чертежи;</w:t>
            </w:r>
            <w:r/>
          </w:p>
          <w:p>
            <w:pPr>
              <w:numPr>
                <w:ilvl w:val="0"/>
                <w:numId w:val="13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Обозначения и символы на чертежах ГОСТ,</w:t>
            </w:r>
            <w:r/>
          </w:p>
          <w:p>
            <w:pPr>
              <w:numPr>
                <w:ilvl w:val="0"/>
                <w:numId w:val="1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Обозначения пространственных положений сварных швов;</w:t>
            </w:r>
            <w:r/>
          </w:p>
          <w:p>
            <w:pPr>
              <w:numPr>
                <w:ilvl w:val="0"/>
                <w:numId w:val="1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Технические термины, используемые в чертежах;</w:t>
            </w:r>
            <w:r/>
          </w:p>
          <w:p>
            <w:pPr>
              <w:numPr>
                <w:ilvl w:val="0"/>
                <w:numId w:val="13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Классификацию, назначение и способы применения сварочных расходных материалов, в том числе: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кодировку и обозначения электродов, сварочных прутков, сварочной проволоки их диаметры и применение,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виды газов, газовых смесей и их применение,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выбор и подготовку сварочных материалов перед сваркой.</w:t>
            </w:r>
            <w:r/>
          </w:p>
          <w:p>
            <w:pPr>
              <w:numPr>
                <w:ilvl w:val="0"/>
                <w:numId w:val="13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Как загрязнение поверхности может повлиять на характеристики готового сварного шва и образование внутренних дефектов;</w:t>
            </w:r>
            <w:r/>
          </w:p>
          <w:p>
            <w:pPr>
              <w:numPr>
                <w:ilvl w:val="0"/>
                <w:numId w:val="1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Факторы, влияющие на формирование сварного шва: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род и полярность тока;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напряжение на дуге;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пространственное положение сварного шва;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свойства свариваемого материала;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толщина и форма деталей;</w:t>
            </w:r>
            <w:r/>
          </w:p>
          <w:p>
            <w:pPr>
              <w:numPr>
                <w:ilvl w:val="1"/>
                <w:numId w:val="1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диаметр присадочного материала и скорость его подачи.</w:t>
            </w:r>
            <w:r/>
          </w:p>
          <w:p>
            <w:pPr>
              <w:numPr>
                <w:ilvl w:val="0"/>
                <w:numId w:val="13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Любую точную настройку сварочного оборудования, форму заточки вольфрамового электрода, тип прутка и его диаметр и т.д.;</w:t>
            </w:r>
            <w:r/>
          </w:p>
          <w:p>
            <w:pPr>
              <w:numPr>
                <w:ilvl w:val="0"/>
                <w:numId w:val="13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Методы подготовки кромок в соответствии с конструкцией шва, толщиной и свойствами металла;</w:t>
            </w:r>
            <w:r/>
          </w:p>
          <w:p>
            <w:pPr>
              <w:numPr>
                <w:ilvl w:val="0"/>
                <w:numId w:val="13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Причины возникновения остаточных напряжений и деформаций при сварке конструкции из стали, цветных металлов и сплавов, и методы по их предупреждению.</w:t>
            </w:r>
            <w:r/>
          </w:p>
          <w:p>
            <w:pPr>
              <w:numPr>
                <w:ilvl w:val="0"/>
                <w:numId w:val="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Механические и физические свойства:</w:t>
            </w:r>
            <w:r/>
          </w:p>
          <w:p>
            <w:pPr>
              <w:numPr>
                <w:ilvl w:val="1"/>
                <w:numId w:val="2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углеродистой стали;</w:t>
            </w:r>
            <w:r/>
          </w:p>
          <w:p>
            <w:pPr>
              <w:numPr>
                <w:ilvl w:val="1"/>
                <w:numId w:val="2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аустенитной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высоколегированной стали;</w:t>
            </w:r>
            <w:r/>
          </w:p>
          <w:p>
            <w:pPr>
              <w:numPr>
                <w:ilvl w:val="1"/>
                <w:numId w:val="2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алюминия и его сплавов.</w:t>
            </w:r>
            <w:r/>
          </w:p>
          <w:p>
            <w:pPr>
              <w:numPr>
                <w:ilvl w:val="0"/>
                <w:numId w:val="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Соответствие технологии сварки используемому материалу;</w:t>
            </w:r>
            <w:r/>
          </w:p>
          <w:p>
            <w:pPr>
              <w:numPr>
                <w:ilvl w:val="0"/>
                <w:numId w:val="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Особенности подбора сварочных расходных материалов;</w:t>
            </w:r>
            <w:r/>
          </w:p>
          <w:p>
            <w:pPr>
              <w:numPr>
                <w:ilvl w:val="0"/>
                <w:numId w:val="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Правильное хранение и обработка сварочных расходных материалов;</w:t>
            </w:r>
            <w:r/>
          </w:p>
          <w:p>
            <w:pPr>
              <w:numPr>
                <w:ilvl w:val="0"/>
                <w:numId w:val="2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Терминологию, характеристики и безопасное использование защитных газов и их смесей;</w:t>
            </w:r>
            <w:r/>
          </w:p>
          <w:p>
            <w:pPr>
              <w:numPr>
                <w:ilvl w:val="0"/>
                <w:numId w:val="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Влияние сварки на структуру материала;</w:t>
            </w:r>
            <w:r/>
          </w:p>
          <w:p>
            <w:pPr>
              <w:numPr>
                <w:ilvl w:val="0"/>
                <w:numId w:val="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Классификацию сборочных приспособлений и правила их применения;</w:t>
            </w:r>
            <w:r/>
          </w:p>
          <w:p>
            <w:pPr>
              <w:numPr>
                <w:ilvl w:val="0"/>
                <w:numId w:val="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Технологию сборки на прихватках.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1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Читать и интерпретировать сборочные и сварочные(рабочие) чертежи;</w:t>
            </w:r>
            <w:r/>
          </w:p>
          <w:p>
            <w:pPr>
              <w:numPr>
                <w:ilvl w:val="0"/>
                <w:numId w:val="3"/>
              </w:numPr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Читать и выполнять требования технологических карт по сборке.</w:t>
            </w:r>
            <w:r/>
          </w:p>
          <w:p>
            <w:pPr>
              <w:numPr>
                <w:ilvl w:val="0"/>
                <w:numId w:val="3"/>
              </w:numPr>
              <w:ind w:right="1574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Настраивать сварочное оборудование в соответствии со спецификациями производителя, включая (среди прочего):</w:t>
            </w:r>
            <w:r/>
          </w:p>
          <w:p>
            <w:pPr>
              <w:numPr>
                <w:ilvl w:val="1"/>
                <w:numId w:val="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род и полярность тока;</w:t>
            </w:r>
            <w:r/>
          </w:p>
          <w:p>
            <w:pPr>
              <w:numPr>
                <w:ilvl w:val="1"/>
                <w:numId w:val="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силу тока;</w:t>
            </w:r>
            <w:r/>
          </w:p>
          <w:p>
            <w:pPr>
              <w:numPr>
                <w:ilvl w:val="1"/>
                <w:numId w:val="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напряжение на дуге;</w:t>
            </w:r>
            <w:r/>
          </w:p>
          <w:p>
            <w:pPr>
              <w:numPr>
                <w:ilvl w:val="1"/>
                <w:numId w:val="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скорость подачи и перемещения электрода;</w:t>
            </w:r>
            <w:r/>
          </w:p>
          <w:p>
            <w:pPr>
              <w:numPr>
                <w:ilvl w:val="1"/>
                <w:numId w:val="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угол наклона электрода и присадочной проволоки;</w:t>
            </w:r>
            <w:r/>
          </w:p>
          <w:p>
            <w:pPr>
              <w:numPr>
                <w:ilvl w:val="1"/>
                <w:numId w:val="3"/>
              </w:numPr>
              <w:spacing w:after="0" w:line="276" w:lineRule="auto"/>
              <w:widowControl w:val="off"/>
              <w:tabs>
                <w:tab w:val="left" w:pos="1548" w:leader="none"/>
                <w:tab w:val="left" w:pos="154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 переноса металла в сварочной дуге.</w:t>
            </w:r>
            <w:r/>
          </w:p>
          <w:p>
            <w:pPr>
              <w:numPr>
                <w:ilvl w:val="0"/>
                <w:numId w:val="3"/>
              </w:numPr>
              <w:ind w:right="19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Подготавливать кромки материала в соответствии со спецификациями и требованиями чертежей;</w:t>
            </w:r>
            <w:r/>
          </w:p>
          <w:p>
            <w:pPr>
              <w:numPr>
                <w:ilvl w:val="0"/>
                <w:numId w:val="3"/>
              </w:numPr>
              <w:ind w:right="440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Выбирать и использовать соответствующие приспособления и технологические приемы для минимизации и коррекции деформаций;</w:t>
            </w:r>
            <w:r/>
          </w:p>
          <w:p>
            <w:pPr>
              <w:numPr>
                <w:ilvl w:val="0"/>
                <w:numId w:val="3"/>
              </w:numPr>
              <w:ind w:right="847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Использовать материалы с учетом их механических и физических свойств;</w:t>
            </w:r>
            <w:r/>
          </w:p>
          <w:p>
            <w:pPr>
              <w:numPr>
                <w:ilvl w:val="0"/>
                <w:numId w:val="3"/>
              </w:numPr>
              <w:ind w:right="964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Правильно хранить расходные материалы с учетом назначения и требований безопасности;</w:t>
            </w:r>
            <w:r/>
          </w:p>
          <w:p>
            <w:pPr>
              <w:numPr>
                <w:ilvl w:val="0"/>
                <w:numId w:val="3"/>
              </w:numPr>
              <w:ind w:right="344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Выбирать и подготавливать материалы с учетом требований чертежа и спецификаций;</w:t>
            </w:r>
            <w:r/>
          </w:p>
          <w:p>
            <w:pPr>
              <w:numPr>
                <w:ilvl w:val="0"/>
                <w:numId w:val="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Применять методы и приемы защиты зоны сварки от загрязнения;</w:t>
            </w:r>
            <w:r/>
          </w:p>
          <w:p>
            <w:pPr>
              <w:numPr>
                <w:ilvl w:val="0"/>
                <w:numId w:val="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Выбирать газы, используемые для защиты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поддува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;</w:t>
            </w:r>
            <w:r/>
          </w:p>
          <w:p>
            <w:pPr>
              <w:numPr>
                <w:ilvl w:val="0"/>
                <w:numId w:val="3"/>
              </w:numPr>
              <w:ind w:right="578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сборку элементов конструкций и деталей с применением сборочных приспособлений;</w:t>
            </w:r>
            <w:r/>
          </w:p>
          <w:p>
            <w:pPr>
              <w:numPr>
                <w:ilvl w:val="0"/>
                <w:numId w:val="3"/>
              </w:numPr>
              <w:ind w:right="255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прихватку собранных элементов, производить ее зачистку и контроль;</w:t>
            </w:r>
            <w:r/>
          </w:p>
          <w:p>
            <w:pPr>
              <w:numPr>
                <w:ilvl w:val="0"/>
                <w:numId w:val="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межслойную зачистку материала под сварку;</w:t>
            </w:r>
            <w:r/>
          </w:p>
          <w:p>
            <w:pPr>
              <w:numPr>
                <w:ilvl w:val="0"/>
                <w:numId w:val="3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Сверять выполненные работы с требованиями чертежей, проверять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соосность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перпендикулярность и плоскостность на соответствие допускам.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Технология РД (111 ММА)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4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Влияние техники перемещения торца электрода, углов наклона и скорости перемещения электрода на формирование сварного шва;</w:t>
            </w:r>
            <w:r/>
          </w:p>
          <w:p>
            <w:pPr>
              <w:numPr>
                <w:ilvl w:val="0"/>
                <w:numId w:val="4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Методы бездефектного возобновления процесса сварки;</w:t>
            </w:r>
            <w:r/>
          </w:p>
          <w:p>
            <w:pPr>
              <w:numPr>
                <w:ilvl w:val="0"/>
                <w:numId w:val="4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 формирования обратного валика сварного шва в стыковом одностороннем соединении, при любом его пространственном положении;</w:t>
            </w:r>
            <w:r/>
          </w:p>
          <w:p>
            <w:pPr>
              <w:numPr>
                <w:ilvl w:val="0"/>
                <w:numId w:val="8"/>
              </w:num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шва;</w:t>
            </w:r>
            <w:r/>
          </w:p>
          <w:p>
            <w:pPr>
              <w:numPr>
                <w:ilvl w:val="0"/>
                <w:numId w:val="8"/>
              </w:num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 выполнения заполняющих и облицовочных слоев (валиков, проходов).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сварные швы в соответствии с Российскими стандартами;</w:t>
            </w:r>
            <w:r/>
          </w:p>
          <w:p>
            <w:pPr>
              <w:numPr>
                <w:ilvl w:val="0"/>
                <w:numId w:val="5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согласно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действующих  стандартов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для выполнения задач;</w:t>
            </w:r>
            <w:r/>
          </w:p>
          <w:p>
            <w:pPr>
              <w:numPr>
                <w:ilvl w:val="0"/>
                <w:numId w:val="5"/>
              </w:numPr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Читать и выполнять требования технологических карт по сварке.</w:t>
            </w:r>
            <w:r/>
          </w:p>
          <w:p>
            <w:pPr>
              <w:numPr>
                <w:ilvl w:val="0"/>
                <w:numId w:val="5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  <w:r/>
          </w:p>
          <w:p>
            <w:pPr>
              <w:numPr>
                <w:ilvl w:val="0"/>
                <w:numId w:val="5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односторонние стыковые соединения с формированием обратного валика сварного шва в любом пространственном положении;</w:t>
            </w:r>
            <w:r/>
          </w:p>
          <w:p>
            <w:pPr>
              <w:numPr>
                <w:ilvl w:val="0"/>
                <w:numId w:val="5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тавровые соединения с обеспечением сплавления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ребра  привариваемой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детали и угловые соединения с формированием радиального профиля сварного шва;</w:t>
            </w:r>
            <w:r/>
          </w:p>
          <w:p>
            <w:pPr>
              <w:numPr>
                <w:ilvl w:val="0"/>
                <w:numId w:val="5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Осуществлять возобновление процесса без дефектов;</w:t>
            </w:r>
            <w:r/>
          </w:p>
          <w:p>
            <w:pPr>
              <w:numPr>
                <w:ilvl w:val="0"/>
                <w:numId w:val="5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Использовать все функции сварочного оборудования по необходимости.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Технология МП (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135  MIG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/MAG)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</w:t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794" w:hanging="709"/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ind w:left="794" w:hanging="425"/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  <w:t xml:space="preserve">Влияние силы сварочного тока (скорости подачи сварочной проволоки), напряжения, динамики сварочной дуги на ширину и глубину сварочной ванны;</w:t>
            </w:r>
            <w:r/>
          </w:p>
          <w:p>
            <w:pPr>
              <w:ind w:left="794" w:hanging="425"/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  <w:t xml:space="preserve">Влияние техники перемещения сварочной горелки, углов наклона и скорости перемещения на формирование сварного шва;</w:t>
            </w:r>
            <w:r/>
          </w:p>
          <w:p>
            <w:pPr>
              <w:ind w:left="794" w:hanging="425"/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  <w:t xml:space="preserve">Методы бездефектного возобновления процесса сварки;</w:t>
            </w:r>
            <w:r/>
          </w:p>
          <w:p>
            <w:pPr>
              <w:ind w:left="794" w:hanging="425"/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  <w:t xml:space="preserve">Способы формирования обратного валика сварного шва в стыковом одностороннем соединении, при любом его пространственном положении;</w:t>
            </w:r>
            <w:r/>
          </w:p>
          <w:p>
            <w:pPr>
              <w:ind w:left="794" w:hanging="425"/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  <w:t xml:space="preserve"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шва;</w:t>
            </w:r>
            <w:r/>
          </w:p>
          <w:p>
            <w:pPr>
              <w:ind w:left="810" w:hanging="426"/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  <w:t xml:space="preserve">Способы выполнения заполняющих и облицовочных слоев (валиков, проходов).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6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сварные швы в соответствии                  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с Российскими стандартами;</w:t>
            </w:r>
            <w:r/>
          </w:p>
          <w:p>
            <w:pPr>
              <w:numPr>
                <w:ilvl w:val="0"/>
                <w:numId w:val="6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согласно действующих стандартов, для выполнения задач;</w:t>
            </w:r>
            <w:r/>
          </w:p>
          <w:p>
            <w:pPr>
              <w:numPr>
                <w:ilvl w:val="0"/>
                <w:numId w:val="6"/>
              </w:numPr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Читать и выполнять требования технологических карт по сварке.</w:t>
            </w:r>
            <w:r/>
          </w:p>
          <w:p>
            <w:pPr>
              <w:numPr>
                <w:ilvl w:val="0"/>
                <w:numId w:val="6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сварку деталей из углеродистой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  стали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во всех пространственных положениях (кроме вертикального шва, выполняемого в направлении сверху вниз).</w:t>
            </w:r>
            <w:r/>
          </w:p>
          <w:p>
            <w:pPr>
              <w:numPr>
                <w:ilvl w:val="0"/>
                <w:numId w:val="6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односторонние стыковые соединения с формированием обратного валика сварного шва в любом пространственном положении;</w:t>
            </w:r>
            <w:r/>
          </w:p>
          <w:p>
            <w:pPr>
              <w:numPr>
                <w:ilvl w:val="0"/>
                <w:numId w:val="6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тавровые соединения с обеспечением сплавления ребра привариваемой детали и угловые соединения 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формированием  радиального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профиля сварного шва;</w:t>
            </w:r>
            <w:r/>
          </w:p>
          <w:p>
            <w:pPr>
              <w:numPr>
                <w:ilvl w:val="0"/>
                <w:numId w:val="6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Осуществлять возобновление процесса без дефектов;</w:t>
            </w:r>
            <w:r/>
          </w:p>
          <w:p>
            <w:pPr>
              <w:numPr>
                <w:ilvl w:val="0"/>
                <w:numId w:val="6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Использовать функции сварочного оборудования.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РАД  (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141) TIG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7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Влияние силы сварочного тока, напряжения, динамики сварочной дуги и угла заточки вольфрамового электрода на ширину и глубину сварочной ванны;</w:t>
            </w:r>
            <w:r/>
          </w:p>
          <w:p>
            <w:pPr>
              <w:numPr>
                <w:ilvl w:val="0"/>
                <w:numId w:val="7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Влияние техники перемещения сварочной горелки и присадочного прутка, углов наклона и скорости перемещения на формирование сварного шва;</w:t>
            </w:r>
            <w:r/>
          </w:p>
          <w:p>
            <w:pPr>
              <w:numPr>
                <w:ilvl w:val="0"/>
                <w:numId w:val="7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Методы бездефектного возобновления процесса сварки;</w:t>
            </w:r>
            <w:r/>
          </w:p>
          <w:p>
            <w:pPr>
              <w:numPr>
                <w:ilvl w:val="0"/>
                <w:numId w:val="7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 формирования обратного валика сварного шва в стыковом одностороннем соединении, при любом его пространственном положении;</w:t>
            </w:r>
            <w:r/>
          </w:p>
          <w:p>
            <w:pPr>
              <w:numPr>
                <w:ilvl w:val="0"/>
                <w:numId w:val="7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обеспечивающие полный провар в тавровых соединениях и технику формирования радиального профиля при сварке угловых соединений в любых пространственных положениях сварного шва.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9"/>
              </w:numPr>
              <w:ind w:right="1422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сварные швы в соответствии с Российскими стандартами;</w:t>
            </w:r>
            <w:r/>
          </w:p>
          <w:p>
            <w:pPr>
              <w:numPr>
                <w:ilvl w:val="0"/>
                <w:numId w:val="9"/>
              </w:numPr>
              <w:ind w:right="559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согласно действующих стандартов, для выполнения задач;</w:t>
            </w:r>
            <w:r/>
          </w:p>
          <w:p>
            <w:pPr>
              <w:numPr>
                <w:ilvl w:val="0"/>
                <w:numId w:val="9"/>
              </w:numPr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Читать и выполнять требования технологических карт по сварке.</w:t>
            </w:r>
            <w:r/>
          </w:p>
          <w:p>
            <w:pPr>
              <w:numPr>
                <w:ilvl w:val="0"/>
                <w:numId w:val="9"/>
              </w:numPr>
              <w:ind w:right="559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сварку деталей из углеродистой, высоколегированной стали, цветных металлов и их сплавов во всех пространственных</w:t>
            </w:r>
            <w:r/>
          </w:p>
          <w:p>
            <w:pPr>
              <w:numPr>
                <w:ilvl w:val="0"/>
                <w:numId w:val="9"/>
              </w:numPr>
              <w:ind w:right="559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Положениях (кроме вертикального шва,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выполняемого в направлении сверху вниз);</w:t>
            </w:r>
            <w:r/>
          </w:p>
          <w:p>
            <w:pPr>
              <w:numPr>
                <w:ilvl w:val="0"/>
                <w:numId w:val="9"/>
              </w:numPr>
              <w:ind w:right="252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односторонние стыковые соединения с формированием обратного валика сварного шва в любом пространственном положении;</w:t>
            </w:r>
            <w:r/>
          </w:p>
          <w:p>
            <w:pPr>
              <w:numPr>
                <w:ilvl w:val="0"/>
                <w:numId w:val="9"/>
              </w:numPr>
              <w:ind w:right="48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тавровые соединения с полным проплавлением и угловые соединения с формированием радиального профиля сварного шва;</w:t>
            </w:r>
            <w:r/>
          </w:p>
          <w:p>
            <w:pPr>
              <w:numPr>
                <w:ilvl w:val="0"/>
                <w:numId w:val="9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Осуществлять возобновление процесса без дефектов;</w:t>
            </w:r>
            <w:r/>
          </w:p>
          <w:p>
            <w:pPr>
              <w:numPr>
                <w:ilvl w:val="0"/>
                <w:numId w:val="9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Использовать функции сварочного оборудования.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Анализ работы, обеспечение качества и испытания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12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Стандарты и спецификации контроля качества сварного шва;</w:t>
            </w:r>
            <w:r/>
          </w:p>
          <w:p>
            <w:pPr>
              <w:numPr>
                <w:ilvl w:val="0"/>
                <w:numId w:val="12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Интерпретировать терминологию контроля сварных соединений и конструкций согласно действующих стандартов;</w:t>
            </w:r>
            <w:r/>
          </w:p>
          <w:p>
            <w:pPr>
              <w:numPr>
                <w:ilvl w:val="0"/>
                <w:numId w:val="12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Причины возникновения и способы устранения наружных и внутренних дефектов сварных швов;</w:t>
            </w:r>
            <w:r/>
          </w:p>
          <w:p>
            <w:pPr>
              <w:numPr>
                <w:ilvl w:val="0"/>
                <w:numId w:val="12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Важность процесса очистки свариваемого металла для повышения качества сварки;</w:t>
            </w:r>
            <w:r/>
          </w:p>
          <w:p>
            <w:pPr>
              <w:numPr>
                <w:ilvl w:val="0"/>
                <w:numId w:val="1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 и методы неразрушающего и разрушающего контроля;</w:t>
            </w:r>
            <w:r/>
          </w:p>
          <w:p>
            <w:pPr>
              <w:numPr>
                <w:ilvl w:val="0"/>
                <w:numId w:val="12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Виды контрольных образцов для сертификации сварщика в соответствии с Российскими стандартами.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/>
            <w:tcW w:w="6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810" w:type="dxa"/>
            <w:vAlign w:val="center"/>
            <w:textDirection w:val="lrTb"/>
            <w:noWrap w:val="false"/>
          </w:tcPr>
          <w:p>
            <w:pPr>
              <w:ind w:left="10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Выполнять визуальный и измерительный контроль сварных швов и соединений;</w:t>
            </w:r>
            <w:r/>
          </w:p>
          <w:p>
            <w:pPr>
              <w:numPr>
                <w:ilvl w:val="0"/>
                <w:numId w:val="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Распознавать дефекты сварных швов и принимать соответствующие меры по их устранению;</w:t>
            </w:r>
            <w:r/>
          </w:p>
          <w:p>
            <w:pPr>
              <w:numPr>
                <w:ilvl w:val="0"/>
                <w:numId w:val="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Обеспечивать чистоту кромок свариваемого металла и присадочного материала в течении всего технологического процесса;</w:t>
            </w:r>
            <w:r/>
          </w:p>
          <w:p>
            <w:pPr>
              <w:numPr>
                <w:ilvl w:val="0"/>
                <w:numId w:val="1"/>
              </w:numPr>
              <w:ind w:hanging="361"/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Зачищать швы при помощи проволочных щеток, скребков, зубила и т.п.;</w:t>
            </w:r>
            <w:r/>
          </w:p>
          <w:p>
            <w:pPr>
              <w:numPr>
                <w:ilvl w:val="0"/>
                <w:numId w:val="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Обеспечить качество сварных соединений (тавровых) для прохождения разрушающего контроля;</w:t>
            </w:r>
            <w:r/>
          </w:p>
          <w:p>
            <w:pPr>
              <w:numPr>
                <w:ilvl w:val="0"/>
                <w:numId w:val="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Обеспечить качество сварных соединений для прохождения рентгенографического контроля;</w:t>
            </w:r>
            <w:r/>
          </w:p>
          <w:p>
            <w:pPr>
              <w:numPr>
                <w:ilvl w:val="0"/>
                <w:numId w:val="1"/>
              </w:numPr>
              <w:spacing w:after="0" w:line="276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Обеспечить качество сварных соединений под гидравлические испытания на герметичность.</w:t>
            </w:r>
            <w:r/>
          </w:p>
        </w:tc>
        <w:tc>
          <w:tcPr>
            <w:shd w:val="clear" w:color="auto" w:fill="auto"/>
            <w:tcW w:w="2184" w:type="dxa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740"/>
        <w:ind w:firstLine="709"/>
        <w:jc w:val="center"/>
        <w:spacing w:before="0" w:after="0" w:line="276" w:lineRule="auto"/>
        <w:rPr>
          <w:rFonts w:ascii="Times New Roman" w:hAnsi="Times New Roman"/>
          <w:szCs w:val="28"/>
          <w:lang w:val="ru-RU"/>
        </w:rPr>
      </w:pPr>
      <w:r/>
      <w:bookmarkStart w:id="5" w:name="_Toc126404546"/>
      <w:r>
        <w:rPr>
          <w:rFonts w:ascii="Times New Roman" w:hAnsi="Times New Roman"/>
          <w:color w:val="000000"/>
          <w:szCs w:val="28"/>
          <w:lang w:val="ru-RU"/>
        </w:rPr>
        <w:t xml:space="preserve">1.3. ТРЕБОВАНИЯ К СХЕМЕ ОЦЕНКИ</w:t>
      </w:r>
      <w:bookmarkEnd w:id="5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  <w:r/>
    </w:p>
    <w:p>
      <w:pPr>
        <w:ind w:firstLine="709"/>
        <w:jc w:val="right"/>
        <w:spacing w:after="0" w:line="276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r>
      <w:r/>
    </w:p>
    <w:p>
      <w:pPr>
        <w:ind w:firstLine="709"/>
        <w:jc w:val="right"/>
        <w:spacing w:after="0" w:line="276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Таблица №2</w:t>
      </w:r>
      <w:r/>
    </w:p>
    <w:p>
      <w:pPr>
        <w:ind w:firstLine="709"/>
        <w:jc w:val="right"/>
        <w:spacing w:after="0" w:line="276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Матрица пересчета требований компетенции в критерии оценки</w:t>
      </w:r>
      <w:r/>
    </w:p>
    <w:tbl>
      <w:tblPr>
        <w:tblStyle w:val="984"/>
        <w:tblW w:w="97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253"/>
        <w:gridCol w:w="903"/>
        <w:gridCol w:w="1002"/>
        <w:gridCol w:w="1002"/>
        <w:gridCol w:w="1002"/>
        <w:gridCol w:w="1002"/>
        <w:gridCol w:w="1002"/>
        <w:gridCol w:w="1053"/>
        <w:gridCol w:w="48"/>
        <w:gridCol w:w="1228"/>
        <w:gridCol w:w="77"/>
      </w:tblGrid>
      <w:tr>
        <w:trPr>
          <w:jc w:val="center"/>
          <w:trHeight w:val="1538"/>
        </w:trPr>
        <w:tc>
          <w:tcPr>
            <w:gridSpan w:val="10"/>
            <w:shd w:val="clear" w:color="auto" w:fill="92d050"/>
            <w:tcW w:w="848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Критерий/Модуль</w:t>
            </w:r>
            <w:r/>
          </w:p>
        </w:tc>
        <w:tc>
          <w:tcPr>
            <w:gridSpan w:val="2"/>
            <w:shd w:val="clear" w:color="auto" w:fill="92d050"/>
            <w:tcW w:w="130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баллов за раздел ТК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1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2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A</w:t>
            </w:r>
            <w:r/>
          </w:p>
        </w:tc>
        <w:tc>
          <w:tcPr>
            <w:shd w:val="clear" w:color="auto" w:fill="00b050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00b050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00b050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00b050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00b050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00b050"/>
            <w:tcW w:w="10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Ж</w:t>
            </w:r>
            <w:r/>
          </w:p>
        </w:tc>
        <w:tc>
          <w:tcPr>
            <w:gridSpan w:val="2"/>
            <w:shd w:val="clear" w:color="auto" w:fill="00b050"/>
            <w:tcW w:w="1276" w:type="dxa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12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2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</w:t>
            </w:r>
            <w:r/>
          </w:p>
        </w:tc>
        <w:tc>
          <w:tcPr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0,95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0,95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0,90</w:t>
            </w:r>
            <w:r/>
          </w:p>
        </w:tc>
        <w:tc>
          <w:tcPr>
            <w:tcW w:w="10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0,90</w:t>
            </w:r>
            <w:r/>
          </w:p>
        </w:tc>
        <w:tc>
          <w:tcPr>
            <w:gridSpan w:val="2"/>
            <w:shd w:val="clear" w:color="auto" w:fill="f2f2f2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12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2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2</w:t>
            </w:r>
            <w:r/>
          </w:p>
        </w:tc>
        <w:tc>
          <w:tcPr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1,05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1,05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0,90</w:t>
            </w:r>
            <w:r/>
          </w:p>
        </w:tc>
        <w:tc>
          <w:tcPr>
            <w:tcW w:w="10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1,10</w:t>
            </w:r>
            <w:r/>
          </w:p>
        </w:tc>
        <w:tc>
          <w:tcPr>
            <w:gridSpan w:val="2"/>
            <w:shd w:val="clear" w:color="auto" w:fill="f2f2f2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12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2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3</w:t>
            </w:r>
            <w:r/>
          </w:p>
        </w:tc>
        <w:tc>
          <w:tcPr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11,50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2f2f2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12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2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4</w:t>
            </w:r>
            <w:r/>
          </w:p>
        </w:tc>
        <w:tc>
          <w:tcPr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9,50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13,50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2f2f2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12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2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5</w:t>
            </w:r>
            <w:r/>
          </w:p>
        </w:tc>
        <w:tc>
          <w:tcPr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5,60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5,95</w:t>
            </w:r>
            <w:r/>
          </w:p>
        </w:tc>
        <w:tc>
          <w:tcPr>
            <w:tcW w:w="10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5,45</w:t>
            </w:r>
            <w:r/>
          </w:p>
        </w:tc>
        <w:tc>
          <w:tcPr>
            <w:gridSpan w:val="2"/>
            <w:shd w:val="clear" w:color="auto" w:fill="f2f2f2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12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2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6</w:t>
            </w:r>
            <w:r/>
          </w:p>
        </w:tc>
        <w:tc>
          <w:tcPr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5,85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3,00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8,65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2f2f2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gridSpan w:val="2"/>
            <w:shd w:val="clear" w:color="auto" w:fill="00b050"/>
            <w:tcW w:w="1471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/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17,75</w:t>
            </w:r>
            <w:r/>
          </w:p>
        </w:tc>
        <w:tc>
          <w:tcPr>
            <w:shd w:val="clear" w:color="auto" w:fill="f2f2f2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20,55</w:t>
            </w:r>
            <w:r/>
          </w:p>
        </w:tc>
        <w:tc>
          <w:tcPr>
            <w:shd w:val="clear" w:color="auto" w:fill="f2f2f2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14,50</w:t>
            </w:r>
            <w:r/>
          </w:p>
        </w:tc>
        <w:tc>
          <w:tcPr>
            <w:shd w:val="clear" w:color="auto" w:fill="f2f2f2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24,60</w:t>
            </w:r>
            <w:r/>
          </w:p>
        </w:tc>
        <w:tc>
          <w:tcPr>
            <w:shd w:val="clear" w:color="auto" w:fill="f2f2f2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7,40</w:t>
            </w:r>
            <w:r/>
          </w:p>
        </w:tc>
        <w:tc>
          <w:tcPr>
            <w:shd w:val="clear" w:color="auto" w:fill="f2f2f2"/>
            <w:tcW w:w="100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7,75</w:t>
            </w:r>
            <w:r/>
          </w:p>
        </w:tc>
        <w:tc>
          <w:tcPr>
            <w:shd w:val="clear" w:color="auto" w:fill="f2f2f2"/>
            <w:tcW w:w="105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7,45</w:t>
            </w:r>
            <w:r/>
          </w:p>
        </w:tc>
        <w:tc>
          <w:tcPr>
            <w:gridSpan w:val="2"/>
            <w:shd w:val="clear" w:color="auto" w:fill="f2f2f2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keepNext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/>
    </w:p>
    <w:p>
      <w:pPr>
        <w:pStyle w:val="740"/>
        <w:ind w:firstLine="709"/>
        <w:jc w:val="center"/>
        <w:spacing w:before="0" w:after="0" w:line="276" w:lineRule="auto"/>
        <w:rPr>
          <w:rFonts w:ascii="Times New Roman" w:hAnsi="Times New Roman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6" w:name="_Toc126404547"/>
      <w:r>
        <w:rPr>
          <w:rFonts w:ascii="Times New Roman" w:hAnsi="Times New Roman"/>
          <w:szCs w:val="28"/>
        </w:rPr>
        <w:t xml:space="preserve">1.4. СПЕЦИФИКАЦИЯ ОЦЕНКИ КОМПЕТЕНЦИИ</w:t>
      </w:r>
      <w:bookmarkEnd w:id="6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Конкурсного задания будет основываться на критериях, указанных в таблице №3:</w:t>
      </w:r>
      <w:r/>
    </w:p>
    <w:p>
      <w:pPr>
        <w:ind w:firstLine="709"/>
        <w:jc w:val="right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Оценка конкурсного задания</w:t>
      </w:r>
      <w:r/>
    </w:p>
    <w:tbl>
      <w:tblPr>
        <w:tblStyle w:val="985"/>
        <w:tblW w:w="9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6540"/>
        <w:gridCol w:w="2546"/>
      </w:tblGrid>
      <w:tr>
        <w:trPr/>
        <w:tc>
          <w:tcPr>
            <w:gridSpan w:val="2"/>
            <w:shd w:val="clear" w:color="auto" w:fill="92d050"/>
            <w:tcW w:w="7083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254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в критерии</w:t>
            </w:r>
            <w:r/>
          </w:p>
        </w:tc>
      </w:tr>
      <w:tr>
        <w:trPr/>
        <w:tc>
          <w:tcPr>
            <w:shd w:val="clear" w:color="auto" w:fill="00b050"/>
            <w:tcW w:w="5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654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образцы 111 </w:t>
            </w:r>
            <w:r>
              <w:rPr>
                <w:b/>
                <w:sz w:val="24"/>
                <w:szCs w:val="24"/>
              </w:rPr>
              <w:t xml:space="preserve">из  углеродистой</w:t>
            </w:r>
            <w:r>
              <w:rPr>
                <w:b/>
                <w:sz w:val="24"/>
                <w:szCs w:val="24"/>
              </w:rPr>
              <w:t xml:space="preserve">, конструкционной стали</w:t>
            </w:r>
            <w:r/>
          </w:p>
        </w:tc>
        <w:tc>
          <w:tcPr>
            <w:shd w:val="clear" w:color="auto" w:fill="auto"/>
            <w:tcW w:w="25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ВИК, РК</w:t>
            </w:r>
            <w:r/>
          </w:p>
        </w:tc>
      </w:tr>
      <w:tr>
        <w:trPr/>
        <w:tc>
          <w:tcPr>
            <w:shd w:val="clear" w:color="auto" w:fill="00b050"/>
            <w:tcW w:w="5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654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Конструкция 111 из углеродистой, конструкционной стали</w:t>
            </w:r>
            <w:r/>
          </w:p>
        </w:tc>
        <w:tc>
          <w:tcPr>
            <w:shd w:val="clear" w:color="auto" w:fill="auto"/>
            <w:tcW w:w="25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ВИК, ГИ</w:t>
            </w:r>
            <w:r/>
          </w:p>
        </w:tc>
      </w:tr>
      <w:tr>
        <w:trPr/>
        <w:tc>
          <w:tcPr>
            <w:shd w:val="clear" w:color="auto" w:fill="00b050"/>
            <w:tcW w:w="5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654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образцы 135 из углеродистой, конструкционной стали</w:t>
            </w:r>
            <w:r/>
          </w:p>
        </w:tc>
        <w:tc>
          <w:tcPr>
            <w:shd w:val="clear" w:color="auto" w:fill="auto"/>
            <w:tcW w:w="25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ВИК, РК</w:t>
            </w:r>
            <w:r/>
          </w:p>
        </w:tc>
      </w:tr>
      <w:tr>
        <w:trPr/>
        <w:tc>
          <w:tcPr>
            <w:shd w:val="clear" w:color="auto" w:fill="00b050"/>
            <w:tcW w:w="5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654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Конструкция 135 из углеродистой, конструкционной стали</w:t>
            </w:r>
            <w:r/>
          </w:p>
        </w:tc>
        <w:tc>
          <w:tcPr>
            <w:shd w:val="clear" w:color="auto" w:fill="auto"/>
            <w:tcW w:w="25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ВИК, ГИ</w:t>
            </w:r>
            <w:r/>
          </w:p>
        </w:tc>
      </w:tr>
      <w:tr>
        <w:trPr/>
        <w:tc>
          <w:tcPr>
            <w:shd w:val="clear" w:color="auto" w:fill="00b050"/>
            <w:tcW w:w="5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654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образцы РАД из алюминия и его сплавов</w:t>
            </w:r>
            <w:r/>
          </w:p>
        </w:tc>
        <w:tc>
          <w:tcPr>
            <w:shd w:val="clear" w:color="auto" w:fill="auto"/>
            <w:tcW w:w="25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</w:t>
            </w:r>
            <w:r/>
          </w:p>
        </w:tc>
      </w:tr>
      <w:tr>
        <w:trPr/>
        <w:tc>
          <w:tcPr>
            <w:shd w:val="clear" w:color="auto" w:fill="00b050"/>
            <w:tcW w:w="5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654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образцы РАД из высоколегированной стали</w:t>
            </w:r>
            <w:r/>
          </w:p>
        </w:tc>
        <w:tc>
          <w:tcPr>
            <w:shd w:val="clear" w:color="auto" w:fill="auto"/>
            <w:tcW w:w="25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</w:t>
            </w:r>
            <w:r/>
          </w:p>
        </w:tc>
      </w:tr>
      <w:tr>
        <w:trPr/>
        <w:tc>
          <w:tcPr>
            <w:shd w:val="clear" w:color="auto" w:fill="00b050"/>
            <w:tcW w:w="5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Ж</w:t>
            </w:r>
            <w:r/>
          </w:p>
        </w:tc>
        <w:tc>
          <w:tcPr>
            <w:shd w:val="clear" w:color="auto" w:fill="92d050"/>
            <w:tcW w:w="654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Конструкция РАД из углеродистой, конструкционной стали</w:t>
            </w:r>
            <w:r/>
          </w:p>
        </w:tc>
        <w:tc>
          <w:tcPr>
            <w:shd w:val="clear" w:color="auto" w:fill="auto"/>
            <w:tcW w:w="25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40"/>
        <w:ind w:firstLine="709"/>
        <w:jc w:val="center"/>
        <w:spacing w:before="0" w:after="0" w:line="276" w:lineRule="auto"/>
        <w:rPr>
          <w:rFonts w:ascii="Times New Roman" w:hAnsi="Times New Roman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7" w:name="_Toc126404548"/>
      <w:r>
        <w:rPr>
          <w:rFonts w:ascii="Times New Roman" w:hAnsi="Times New Roman"/>
          <w:szCs w:val="28"/>
        </w:rPr>
        <w:t xml:space="preserve">1.5. КОНКУРСНОЕ ЗАДАНИЕ</w:t>
      </w:r>
      <w:bookmarkEnd w:id="7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18 часов.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3 дня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highlight w:val="yellow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требований компетенции.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40"/>
        <w:ind w:firstLine="709"/>
        <w:jc w:val="center"/>
        <w:spacing w:before="0" w:after="0" w:line="276" w:lineRule="auto"/>
        <w:rPr>
          <w:rFonts w:ascii="Times New Roman" w:hAnsi="Times New Roman"/>
          <w:szCs w:val="28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8" w:name="_Toc126404549"/>
      <w:r>
        <w:rPr>
          <w:rFonts w:ascii="Times New Roman" w:hAnsi="Times New Roman"/>
          <w:szCs w:val="28"/>
          <w:lang w:val="ru-RU"/>
        </w:rPr>
        <w:t xml:space="preserve">1.5.1. </w:t>
      </w:r>
      <w:hyperlink r:id="rId13" w:tooltip="https://docs.google.com/spreadsheets/d/1Gpolrfr1qrxa_V-8tAiZjMe4Nk4S6SPp/edit#gid=2039688519" w:anchor="gid=2039688519" w:history="1">
        <w:r>
          <w:rPr>
            <w:rFonts w:ascii="Times New Roman" w:hAnsi="Times New Roman"/>
            <w:szCs w:val="28"/>
            <w:lang w:val="ru-RU"/>
          </w:rPr>
          <w:t xml:space="preserve">Раз</w:t>
        </w:r>
        <w:r>
          <w:rPr>
            <w:rFonts w:ascii="Times New Roman" w:hAnsi="Times New Roman"/>
            <w:szCs w:val="28"/>
            <w:lang w:val="ru-RU"/>
          </w:rPr>
          <w:t xml:space="preserve">р</w:t>
        </w:r>
        <w:r>
          <w:rPr>
            <w:rFonts w:ascii="Times New Roman" w:hAnsi="Times New Roman"/>
            <w:szCs w:val="28"/>
            <w:lang w:val="ru-RU"/>
          </w:rPr>
          <w:t xml:space="preserve">аботка/выбор конкурсного задания</w:t>
        </w:r>
        <w:bookmarkEnd w:id="8"/>
      </w:hyperlink>
      <w:r/>
      <w:r/>
    </w:p>
    <w:p>
      <w:pPr>
        <w:pStyle w:val="740"/>
        <w:ind w:firstLine="709"/>
        <w:jc w:val="both"/>
        <w:spacing w:before="0" w:after="0" w:line="276" w:lineRule="auto"/>
        <w:rPr>
          <w:rFonts w:ascii="Times New Roman" w:hAnsi="Times New Roman"/>
          <w:szCs w:val="28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9" w:name="_heading=h.ui8vl81s7mhi"/>
      <w:r/>
      <w:bookmarkStart w:id="10" w:name="_Toc126404550"/>
      <w:r/>
      <w:bookmarkEnd w:id="9"/>
      <w:r>
        <w:rPr>
          <w:rFonts w:ascii="Times New Roman" w:hAnsi="Times New Roman"/>
          <w:szCs w:val="28"/>
          <w:lang w:val="ru-RU"/>
        </w:rPr>
        <w:t xml:space="preserve">Конкурсное задание состоит из семи модулей, включает обязательную к выполнению часть (инвариант) – модуль А, модуль Б, модуль В, модуль Г и вариативную часть – модуль Д, модуль Е, модуль Ж. Общее количество баллов конкурсного задания составляет 100.</w:t>
      </w:r>
      <w:bookmarkEnd w:id="10"/>
      <w:r/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Обязательная к выполнению часть (инвариант) выполняется всеми регионами без исключения на всех уровнях чемпионатов (РЧ, Отборочные соревнования, ФНЧ).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(для РЧ) в зависимости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 потребностей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работодателей региона в соответствующих специалистах. В случае если ни один из модулей вариативной части не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подходит под запрос работодателя конкретного региона, то вариативный(е) модуль(и) формируется регионом самостоятельно под запрос работодателя. При этом, время на выполнение каждого модуля(ей) и количество баллов в критериях оценки по аспектам не меняются.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Если какой либо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модуль  вариативной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части не выполняется, то время, отведенное на выполнение данного модуля не перераспределяется и участники получают за этот модуль 0 баллов.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851"/>
        <w:jc w:val="right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Таблица №4</w:t>
      </w:r>
      <w:r/>
    </w:p>
    <w:p>
      <w:pPr>
        <w:ind w:firstLine="851"/>
        <w:jc w:val="center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/>
      <w:hyperlink r:id="rId14" w:tooltip="https://disk.yandex.ru/edit/disk/disk%2F%D0%A7%D0%95%D0%9C%D0%9F%D0%98%D0%9E%D0%9D%D0%90%D0%A2%D0%AB %D0%9F%D0%A0%D0%9E%D0%A4.%D0%9C%D0%90%D0%A1%D0%A2%D0%95%D0%A0%D0%A1%D0%A2%D0%92%D0%90 %D0%98%D0%A0%D0%9F%D0%9E%2F%D0%9C%D0%B0%D1%82%D1%80%D0%B8%D1%86%D0%B0.xlsx?sk=y35b16720b109c05cf51b5dd5cfc3a7e7" w:history="1">
        <w:r>
          <w:rPr>
            <w:rStyle w:val="925"/>
            <w:rFonts w:ascii="Times New Roman" w:hAnsi="Times New Roman" w:eastAsia="Times New Roman" w:cs="Times New Roman"/>
            <w:b/>
            <w:sz w:val="28"/>
            <w:szCs w:val="28"/>
          </w:rPr>
          <w:t xml:space="preserve">Матрица конкурсного задания</w:t>
        </w:r>
      </w:hyperlink>
      <w:r/>
      <w:r/>
    </w:p>
    <w:tbl>
      <w:tblPr>
        <w:tblStyle w:val="986"/>
        <w:tblW w:w="9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Обобщенная трудовая функция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функция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документ/ЗУН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Инвариант/</w:t>
            </w:r>
            <w:r>
              <w:rPr>
                <w:sz w:val="28"/>
                <w:szCs w:val="28"/>
              </w:rPr>
              <w:t xml:space="preserve">вариатив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</w:t>
            </w:r>
            <w:r/>
          </w:p>
        </w:tc>
      </w:tr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</w:tr>
    </w:tbl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(</w:t>
      </w:r>
      <w:hyperlink r:id="rId15" w:tooltip="https://disk.yandex.ru/edit/disk/disk%2F%D0%A7%D0%95%D0%9C%D0%9F%D0%98%D0%9E%D0%9D%D0%90%D0%A2%D0%AB %D0%9F%D0%A0%D0%9E%D0%A4.%D0%9C%D0%90%D0%A1%D0%A2%D0%95%D0%A0%D0%A1%D0%A2%D0%92%D0%90 %D0%98%D0%A0%D0%9F%D0%9E%2F%D0%BF%D0%BE%D1%8F%D1%81%D0%BD%D0%B5%D0%BD%D0%B8%D1%8F %D0%BA %D0%BC%D0%B0%D1%82%D1%80%D0%B8%D1%86%D0%B5.docx?sk=y35b16720b109c05cf51b5dd5cfc3a7e7" w:history="1">
        <w:r>
          <w:rPr>
            <w:rStyle w:val="925"/>
            <w:rFonts w:ascii="Times New Roman" w:hAnsi="Times New Roman" w:eastAsia="Times New Roman" w:cs="Times New Roman"/>
            <w:b/>
            <w:sz w:val="28"/>
            <w:szCs w:val="28"/>
          </w:rPr>
          <w:t xml:space="preserve">Приложение № 1)</w:t>
        </w:r>
      </w:hyperlink>
      <w:r/>
      <w:r/>
    </w:p>
    <w:p>
      <w:pPr>
        <w:pStyle w:val="740"/>
        <w:ind w:firstLine="709"/>
        <w:jc w:val="both"/>
        <w:spacing w:before="0" w:after="0" w:line="276" w:lineRule="auto"/>
        <w:rPr>
          <w:rFonts w:ascii="Times New Roman" w:hAnsi="Times New Roman"/>
          <w:szCs w:val="28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1" w:name="_Toc126404551"/>
      <w:r/>
      <w:r/>
    </w:p>
    <w:p>
      <w:pPr>
        <w:pStyle w:val="740"/>
        <w:ind w:firstLine="709"/>
        <w:jc w:val="center"/>
        <w:spacing w:before="0" w:after="0" w:line="276" w:lineRule="auto"/>
        <w:rPr>
          <w:rFonts w:ascii="Times New Roman" w:hAnsi="Times New Roman"/>
          <w:szCs w:val="28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/>
          <w:szCs w:val="28"/>
          <w:lang w:val="ru-RU"/>
        </w:rPr>
        <w:t xml:space="preserve">1.5.2. Структура модулей конкурсного задания (инвариант/</w:t>
      </w:r>
      <w:r>
        <w:rPr>
          <w:rFonts w:ascii="Times New Roman" w:hAnsi="Times New Roman"/>
          <w:szCs w:val="28"/>
          <w:lang w:val="ru-RU"/>
        </w:rPr>
        <w:t xml:space="preserve">вариатив</w:t>
      </w:r>
      <w:r>
        <w:rPr>
          <w:rFonts w:ascii="Times New Roman" w:hAnsi="Times New Roman"/>
          <w:szCs w:val="28"/>
          <w:lang w:val="ru-RU"/>
        </w:rPr>
        <w:t xml:space="preserve">)</w:t>
      </w:r>
      <w:bookmarkEnd w:id="11"/>
      <w:r/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Модуль А. Контрольные сварные соединения из углеродистой стали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выполненные  111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сварочным процессом (РД) (инвариант)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выполнение модуля 3 часа;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Количество КСС: 3 (три)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Конструктивные элементы сварных соединений: труба +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труба 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стыковое соединение), пластина + пластина (стыковое и тавровое соединение)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Материалы: высококачественная низкоуглеродистая сталь, труба диаметром 114 мм, толщина стенки 8 мм, пластины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толщиной  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Контрольные образцы собираются и свариваются 111 процессом (РД) в соответствии с технологической картой и чертежом.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модуля: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ВИК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РК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Геометрические размеры сварного шва, включая катет таврового соединения, количество слоев и проходов выполняется в соответствии с технологической картой.</w:t>
      </w:r>
      <w:r/>
    </w:p>
    <w:p>
      <w:pPr>
        <w:ind w:left="-566" w:firstLine="705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Модуль Б.  Конструкция, работающая под давлением, из углеродистой стали,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выполненная  111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сварочным процессом (РД) (инвариант)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выполнение модуля 3 часа;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Материалы: высококачественная низкоуглеродистая сталь, толщина листа 4 мм;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модуля: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ВИК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Испытание под давлением 10 бар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Конструкция, работающая под давлением - полностью герметичная конструкция из пластин и труб</w:t>
      </w:r>
      <w:r/>
    </w:p>
    <w:p>
      <w:pPr>
        <w:ind w:left="-566" w:firstLine="705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Модуль В.  Контрольные сварные соединения из углеродистой стали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выполненные  135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сварочным процессом (МП) (инвариант)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выполнение модуля 3 часа;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 КСС: 3 (три)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Конструктивные элементы сварных соединений: труба +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труба 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стыковое соединение), пластина + пластина (стыковое и тавровое соединение)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Контрольные образцы собираются и свариваются 135 процессом (МП) в соответствии с технологической картой и чертежом.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модуля: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ВИК;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РК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Геометрические размеры сварного шва, включая катет таврового соединения, количество слоев и проходов выполняется в соответствии с технологической картой.</w:t>
      </w:r>
      <w:r/>
    </w:p>
    <w:p>
      <w:pPr>
        <w:ind w:left="-566" w:firstLine="705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Модуль Г.  Конструкция, работающая под давлением, из углеродистой стали,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выполненная  135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сварочным процессом (МП) (инвариант)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выполнение модуля 3 часа;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Материалы: высококачественная низкоуглеродистая сталь, толщина листа 10 мм; толщина стенки трубы 8 мм;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модуля: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ВИК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Испытание под давлением 60 бар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Конструкция, работающая под давлением - полностью герметичная конструкция из пластин и труб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Модуль Д.  Сварная конструкция из алюминиевых сплавов,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выполненные  141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сварочным процессом (РАД) (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вариатив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выполнение модуля 1,5 часа;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Сварная конструкция включает в себя стыковое, тавровое и угловое соединение. На Региональном Чемпионате возможна замена на 3 отдельных контрольных соединения.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Конструктивные элементы сварных соединений: пластина + пластина (стыковое, угловое и тавровое соединение)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Материалы: алюминиевый сплав,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толщина  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Сварная конструкция / Контрольные образцы собираются и свариваются 141 процессом (РАД) в соответствии с технологической картой и чертежом.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модуля: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ВИК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всех образцов пластин отрезок длиной 10 мм от края не подлежит визуальному и измерительному контролю, но должен быть заварен от начала до конца КСС</w:t>
      </w:r>
      <w:r/>
    </w:p>
    <w:p>
      <w:pPr>
        <w:ind w:left="-566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Модуль Е.  Сварная конструкция из высоколегированной стали,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выполненная  141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сварочным процессом (РАД) (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вариатив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выполнение модуля 1,5 часа;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Материалы: высоколегированная (нержавеющая) сталь, толщина листа 2 мм;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Сварная конструкция включает в себя стыковое, тавровое и угловое соединение. На Региональном Чемпионате возможна замена на 3 отдельных контрольных соединения.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Сварная конструкция (КСС) собирается и сваривается 141 процессом (РАД) в соответствии с технологической картой и чертежом.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модуля: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ВИК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Модуль Ж.  Сварная замкнутая конструкция из углеродистой стали,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выполненная  141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сварочным процессом (РАД) (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вариатив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выполнение модуля 3 часа;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Материалы: углеродистая сталь, толщина листа 4 мм;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Сварная замкнутая конструкция собирается и сваривается 141 процессом (РАД) в соответствии с технологической картой и чертежом.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модуля: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ВИК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-566" w:firstLine="566"/>
        <w:jc w:val="center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2. СПЕЦИАЛЬНЫЕ ПРАВИЛА КОМПЕТЕНЦИИ</w:t>
      </w: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  <w:footnoteReference w:id="3"/>
      </w:r>
      <w:r/>
    </w:p>
    <w:p>
      <w:pPr>
        <w:ind w:left="-560" w:firstLine="560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Главный эксперт чемпионата должен самостоятельно разработать Технологические карты в соответствии с выбранными модулями. ТК оформляется на каждое контрольное соединение в модуле.  </w:t>
      </w:r>
      <w:r/>
    </w:p>
    <w:p>
      <w:pPr>
        <w:ind w:left="-56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Технологические карты заполняются в </w:t>
      </w:r>
      <w:hyperlink r:id="rId16" w:tooltip="https://disk.yandex.ru/edit/disk/disk%2F%D0%A7%D0%95%D0%9C%D0%9F%D0%98%D0%9E%D0%9D%D0%90%D0%A2%D0%AB %D0%9F%D0%A0%D0%9E%D0%A4.%D0%9C%D0%90%D0%A1%D0%A2%D0%95%D0%A0%D0%A1%D0%A2%D0%92%D0%90 %D0%98%D0%A0%D0%9F%D0%9E%2F%D0%A2%D0%B5%D1%85%D0%BD%D0%BE%D0%BB%D0%BE%D0%B3%D0%B8%D1%87%D0%B5%D1%81%D0%BA%D0%B8%D0%B5 %D0%BA%D0%B0%D1%80%D1%82%D1%8B%2F%D0%A8%D0%B0%D0%B1%D0%BB%D0%BE%D0%BD %D0%A2%D0%9A.xlsx?sk=y35b16720b109c05cf51b5dd5cfc3a7e7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шаблоне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, предоставленном советом компетенции.</w:t>
      </w:r>
      <w:r/>
    </w:p>
    <w:p>
      <w:pPr>
        <w:ind w:left="-56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случае несоблюдения требований технологической карты (не соблюдение технологии сварки, неправильный выбор сварочных материалов, нарушение направления сварки (сварки на спуск)) и чертежа, изделия к оценке НЕ принимаются и баллы не начисляются.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 рабочих мест (постов) на площадке должно строго соответствовать количеству аккредитованных участников конкурса.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случае исключения (невыполнения) одного или нескольких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Чемпионат по компетенции «Сварочные технологии» необходимо проводить только в одну смену.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Требования к сборке: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Сборку изделий необходимо произвести согласно требованиям технологической карты. Собранные образцы предъявляются экспертам для проверки и маркировки.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случае, если образец собран с нарушением, его необходимо разобрать и собрать заново. Время дополнительное не предоставляется. Баллы за сборку не начисляются.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Наличие прихваток внутри конструкций, проверяемых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герметичность  НЕ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допускаются. 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Сборку можно выполнять в любом пространственном положении.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После начала сварки контрольные соединения нельзя разъединять, а затем повторно прихватывать. Повторную сборку можно выполнять только в том случае, если сварка корня еще не начата.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Сварка образцов: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сварке труб/труб с пластинами, замок должен быть расположен на 12 и 6 часах, с допуском ± 10 мм от вертикальной осевой до границы сварного шва.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 швы при толщине металла до 4,5мм должны выполняться за один проход с использованием присадочного металла. При выполнении второго прохода (с присадочным металлом или без него) конструкция оцениваться НЕ будет.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необходимости выполнения газовой защиты корня шва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поддува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сварных соединений модуля “Е”, участник может использовать приспособления собственной разработки, изготовленные заранее.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 оценке допускаются полностью сваренные конструкции/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КСС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не имеющие сквозных дефектов. В случае невыполнения данного требования баллы за изделие не начисляются, оценка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ВИК 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другие испытания не проводятся. 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Конструкции/КСС, выполненные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спуск) к испытаниям не допускаются, баллы за модуль не выставляются.</w:t>
      </w:r>
      <w:r/>
    </w:p>
    <w:p>
      <w:pPr>
        <w:ind w:left="-566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Разрушающий контроль</w:t>
      </w:r>
      <w:r/>
    </w:p>
    <w:p>
      <w:pPr>
        <w:ind w:left="-566" w:firstLine="128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Процедура проведения разрушающего контроля (испытаний на излом) на сваренном образце углового шва таврового соединения:</w:t>
      </w:r>
      <w:r/>
    </w:p>
    <w:p>
      <w:pPr>
        <w:ind w:left="-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каждый образец для испытания должен быть размещен на излом в соответствии со стандартом ISO 9017: Испытания, разрушающие сварных швов металлических материалов – Испытание на излом;</w:t>
      </w:r>
      <w:r/>
    </w:p>
    <w:p>
      <w:pPr>
        <w:ind w:left="-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сваренный образец предоставляется на испытание целиком (не подлежит распилу на участки);</w:t>
      </w:r>
      <w:r/>
    </w:p>
    <w:p>
      <w:pPr>
        <w:ind w:left="-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допускается выполнение надпила вдоль наплавленного металла. Надпил не должен превышать 20% от величины катета сварного шва. Надпил допускается выполнять отрезным диском.</w:t>
      </w:r>
      <w:r/>
    </w:p>
    <w:p>
      <w:pPr>
        <w:ind w:left="-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Каждый образец будет визуально оценен на предмет отсутствия проплавления, включений и пористости после испытаний на излом.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ind w:left="-566" w:firstLine="566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Правила проведения жеребьевки при 30% изменении конкурсного задания.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Сварка модулей проводится строго в соответствии с технологической картой и чертежом. Данные документы выдаются конкурсанту после внесения экспертами 30% изменений в соответствии с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Таблицей № 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“Правила проведения жеребьевки при 30% изменении конкурсного задания“.</w:t>
      </w:r>
      <w:r/>
    </w:p>
    <w:p>
      <w:pPr>
        <w:ind w:left="-566" w:firstLine="56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Главный эксперт чемпионата подготавливает карточки с вариантами жеребьевки (1,2,3,4), в соответствии с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таблицей 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приведенной ниже.</w:t>
      </w:r>
      <w:r/>
    </w:p>
    <w:p>
      <w:pPr>
        <w:ind w:left="-566" w:firstLine="566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Изменения на 30% проводятся только в отношении модулей A и B.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/>
    </w:p>
    <w:p>
      <w:pPr>
        <w:ind w:firstLine="700"/>
        <w:jc w:val="right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Таблица 5</w:t>
      </w:r>
      <w:r/>
    </w:p>
    <w:p>
      <w:pPr>
        <w:ind w:firstLine="700"/>
        <w:jc w:val="right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tbl>
      <w:tblPr>
        <w:tblStyle w:val="987"/>
        <w:tblW w:w="9782" w:type="dxa"/>
        <w:tblInd w:w="-43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600" w:firstRow="0" w:lastRow="0" w:firstColumn="0" w:lastColumn="0" w:noHBand="1" w:noVBand="1"/>
      </w:tblPr>
      <w:tblGrid>
        <w:gridCol w:w="1822"/>
        <w:gridCol w:w="2063"/>
        <w:gridCol w:w="2063"/>
        <w:gridCol w:w="2063"/>
        <w:gridCol w:w="1771"/>
      </w:tblGrid>
      <w:tr>
        <w:trPr>
          <w:trHeight w:val="482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82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МОДУЛЬ А (111 РД)</w:t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22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КСС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Вариант 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Вариант 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Вариант 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71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Вариант 4</w:t>
            </w:r>
            <w:r/>
          </w:p>
        </w:tc>
      </w:tr>
      <w:tr>
        <w:trPr>
          <w:trHeight w:val="18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2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Труба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Наклонное положение шва/ось под 45 градусов (неповоротная)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Вертикальное положение шва/ось в горизонте (неповоротная)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Горизонтальное положение шва/ось вертикальная (неповоротная)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71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Наклонное положение шва/ось под 45 градусов (неповоротная)</w:t>
            </w:r>
            <w:r/>
          </w:p>
        </w:tc>
      </w:tr>
      <w:tr>
        <w:trPr>
          <w:trHeight w:val="8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2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Пластины стык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Вертикальное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Горизонтальное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Потолочное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71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Нижнее положение шва</w:t>
            </w:r>
            <w:r/>
          </w:p>
        </w:tc>
      </w:tr>
      <w:tr>
        <w:trPr>
          <w:trHeight w:val="8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2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Пластины тавр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Полупотолочное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положение шва под 45 градусов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Вертикальное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Нижнее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71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Потолочное положение шва</w:t>
            </w:r>
            <w:r/>
          </w:p>
        </w:tc>
      </w:tr>
      <w:tr>
        <w:trPr>
          <w:trHeight w:val="545"/>
        </w:trPr>
        <w:tc>
          <w:tcPr>
            <w:gridSpan w:val="5"/>
            <w:shd w:val="clear" w:color="auto" w:fill="auto"/>
            <w:tcBorders>
              <w:top w:val="non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82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 В (135 МП)</w:t>
            </w:r>
            <w:r/>
          </w:p>
        </w:tc>
      </w:tr>
      <w:tr>
        <w:trPr>
          <w:trHeight w:val="18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2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Труба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Горизонтальное положение шва/ось вертикальная (неповоротная)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Наклонное положение шва/ось под 45 градусов (неповоротная)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Наклонное положение шва/ось под 45 градусов (неповоротная)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71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Вертикальное положение шва/ось в горизонте (неповоротная)</w:t>
            </w:r>
            <w:r/>
          </w:p>
        </w:tc>
      </w:tr>
      <w:tr>
        <w:trPr>
          <w:trHeight w:val="8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2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Пластины стык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Нижнее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Вертикальное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Горизонтальное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71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Горизонтальное положение шва</w:t>
            </w:r>
            <w:r/>
          </w:p>
        </w:tc>
      </w:tr>
      <w:tr>
        <w:trPr>
          <w:trHeight w:val="8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2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Пластины тавр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Потолочное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Полупотолочное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положение шва под 45 градусов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63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Вертикальное положение шва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71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Нижнее положение шва</w:t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После внесения 30% изменений – Главный эксперт чемпионата вносит изменения в Технологические карты.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Если стоп-точка должна быть выполнена в корневом проходе, но не была предоставлена или не была отмечена, баллы за провар корня шва не начисляются.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Если стоп-точка должна быть выполнена в облицовочном проходе, но не была предоставлена или не была отмечена, баллы за «Кратерные и усадочные раковины» не начисляются.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Контрольный образец труб в положении РН (рис. 1) должен быть закреплен в позиционере и отмечен в позиции «на 12 часов» перед началом сварки. Это будет подтверждено штампом, а также станет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референтной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точкой для любой проверки или испытаний.</w:t>
      </w:r>
      <w:r/>
    </w:p>
    <w:p>
      <w:pPr>
        <w:ind w:firstLine="700"/>
        <w:jc w:val="center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28975" cy="2447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228975" cy="2447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54.2pt;height:192.8pt;mso-wrap-distance-left:0.0pt;mso-wrap-distance-top:0.0pt;mso-wrap-distance-right:0.0pt;mso-wrap-distance-bottom:0.0pt;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700"/>
        <w:jc w:val="center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Рис. 1. Положение вертикальное снизу вверх РН (труба неповоротная)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Контрольный образец труб в положении РС (рис. 2) должен быть закреплен в позиционере и отмечен в позиции «на 12 часов» в плоскости XY перед началом сварки. Это будет подтверждено штампом, а также станет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референтной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точкой для любой проверки или испытаний.</w:t>
      </w:r>
      <w:r/>
    </w:p>
    <w:p>
      <w:pPr>
        <w:ind w:firstLine="700"/>
        <w:jc w:val="center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67025" cy="27908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867025" cy="27908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25.8pt;height:219.8pt;mso-wrap-distance-left:0.0pt;mso-wrap-distance-top:0.0pt;mso-wrap-distance-right:0.0pt;mso-wrap-distance-bottom:0.0pt;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ind w:firstLine="700"/>
        <w:jc w:val="center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Рис. 2. Положение горизонтальное PC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Если образец выполнен с наруше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нием технологического процесса сварки (несоответствие сварочного процесса, пространственного положения сварного шва, выполнение сварки на спуск, поворот стыка), дальнейшая проверка и испытания проводиться не будут, и оценка за этот образец не присуждается.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случае если конкурсант самостоятельно до сдачи изделия (и без подсказки экспертов) обнаружил ошибки (дефекты), он может их исправить и произвести сварку повторно за сче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 общего рабочего времени.  Дополнительное время не предоставляется. В случае обнаружения механических воздействий (абразивная обработка, обработка зубилом, молотком и т.д.) в облицовочном слое и обратном (корневом) валике, изделие к оценке не допускается.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Инструкции, относящиеся непосредственно к соревнованию: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 сварочных аппаратов, инструмента и оборудования допускается строго в соответствии с требованиями, прописанными в данном документе. Организатор соревнований обязан предос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тавить сварочные аппараты, которые можно использовать в основных режимах работы. Марки и модели оборудования, а также производители могут отличаться между собой, но должны строго соответствовать техническим характеристикам, прописанным в настоящем КЗ и ИЛ.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выполнении работ может быть использован весь технический потенциал сварочных аппаратов.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Источники питания для сварки (минимальные требования):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val="en-US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·   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РД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en-US"/>
        </w:rPr>
        <w:t xml:space="preserve"> (111) MMA,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РАД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en-US"/>
        </w:rPr>
        <w:t xml:space="preserve"> (141) TIG: AC/DC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Сварочные аппараты инверторного типа, обеспечивающие максимальный ток не менее 230А с питанием от сети напряжением 220/380В. Оборудование должно обладать следующими функциями: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возможность выполнения сварки в режиме постоянного тока, в режиме смешанного тока, в режиме переменного тока с регулируемой частотой и балансом;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обеспечение режима импульса TIG сварки, цифровой индикации режима сварки и плавной регулировки сварочного тока,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возможность подключения пульта дистанционного управления и педали, регулировки нарастания и спада тока,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возможность включения режима переменного тока для сварки в режиме ММА (111).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Оборудование может иметь возможность подключения жидкостного охлаждения горелки.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· 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МП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(135), MIG/MAG: DC.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Сварочные аппараты инверторного типа, обеспечивающие максимальный ток не менее 320А с питанием от трехфазной сети питания напряжения 380В. Оборудование должно обладать следующими функциями: плавной регулировкой сварочного тока (скорости подачи проволо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ки), напряжения. Механизм подачи проволоки должен иметь 4 ролика и обеспечивать возможность установки катушки сварочной проволоки до 300 мм в диаметре и сварочной горелки с евро разъемом. Панель управления должна иметь цифровую индикацию параметров сварки.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Оборудование должно иметь возможность работы в синергетическом (автоматическом) режиме регулировки сварочных параметров.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Оснастка сварочного оборудования: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·    РД (111) MMA Сварочный кабель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электрододержатель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обратный кабель и зажим;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·    РАД (141) TIG Сварочная горелка, расходные материалы к ней и рукав в сборе, редуктор с двумя ротаметрами, шланги, хомуты, допускается применение ножных или ручных пультов дистанционного управления сварочным током, шланг для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поддува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защитного газа;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·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МП(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135) MIG/MAG Сварочная горелка, расходные материалы к ней и рукав в сборе, редуктор, шланг, хомуты;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Шлифование, использование абразивных материалов, режущего инструмента и оборудования.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Воздействие абразивных материалов, режущего инструмента и оборудования как для внутренней поверхности (со стороны корня шва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так и для наружной стороны (стороны облицовки) запрещены. «Облицовочный слой» будет определен как верхний слой сварного шва, который определяет размеры шва,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кромки и углы. В случае обнаружения воздействия на облицовочный шов или на внутреннюю поверхность шва (со стороны корня) абразивных материалов, ударного-режущего ручного инструмента и оборудования изделие не допускается к визуально-измерительному контролю.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Места прерывания дуги (стоп-точки) могут быть подготовлены перед продолжением сварки.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Шлифование поверхностей материала образца таврового соединения перед сваркой допускается, при этом механически обработанный угол должен составлять 90 градусов.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Зачистка проволочной щеткой.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Зачистка проволочной щеткой, ручная или с использованием механических инструментов, может использоваться на всех сварных поверхностях образцов пластин/труб (Модуль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А,В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и конструкции под давлением (Модуль Б,Г);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ачистка проволочной щеткой НЕ допускается на любом из законченных швов в проекте с алюминиевой конструкцией (Модуль Д) или в проекте с конструкцией из высоколегированной стали (Модуль Е), а также Модуль Ж. Запрещена химическая очистка изделия после сварки.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Сварка образцов пластин не может осущест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вляться с помощью ограничивающих устройств. При сварке контрольных образцов можно использовать только стандартные сварочные кондукторы или зажимы, предоставленные организатором чемпионата. Они должны иметь хороший электрический контакт со сварочным столом.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41"/>
        <w:jc w:val="center"/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2" w:name="_Toc126404552"/>
      <w:r>
        <w:rPr>
          <w:rFonts w:ascii="Times New Roman" w:hAnsi="Times New Roman" w:cs="Times New Roman"/>
          <w:sz w:val="28"/>
          <w:szCs w:val="28"/>
          <w:lang w:val="ru-RU"/>
        </w:rPr>
        <w:t xml:space="preserve">2.1. Личный инструмент конкурсанта (ЛИК)</w:t>
      </w:r>
      <w:bookmarkEnd w:id="12"/>
      <w:r/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ЛИК неопределенный, т.е. можно привезти оборудование по списку, кроме запрещенных приспособлений и оборудования.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ЛИК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Шкаф на колесах с замком (длина 110, ширина 70, высота 95)-1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Углошлифовальная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машина (под круг 125мм) Мощность800Вт-3шт;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Щиток для работы с УШМ -1шт;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УШС (универсальный шаблон сварщика) №1; 2;3-1 комплект;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Металлическая щетка ручная (узкая)-1шт;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Круг отрезной 125х2х22 -6шт;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Круг шлифовальный 125х6х22-3шт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Лепестковый шлифовальный диск 125х22-3шт;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Тарелкообразная стальная щетка для УШМ125х22-3шт;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Молоток-шлакоотделитель-1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Молоток слесарный 500гр.-1шт;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Зубило слесарное 200мм (стальное)-1шт;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Комбинированные плоскогубцы -1шт;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Круглогубцы-1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Очки защитные прозрачные-2шт;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Беруши-6шт;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Линейка металлическая до500мм-1шт;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Угловая линейка -1шт;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Чертилка-1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Карандаш графитовый HB-1шт;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Штангенциркуль 250мм с глубиномером-1шт;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Набор маркеров по металлу 4 цвета-1шт;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Клещи зажимные -2шт;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Магнитная телескопическая ручка-1шт;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Блокнот А5-1шт;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Шуруповерт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прямошлифовальная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машинка-1шт;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Набор насадок на бормашину по металлу (для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шуруповерта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)-1 комплект;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Магнитные угольники 100х100 -2шт;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Маска сварочная –хамелеон (запасной светофильтр) -1шт;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еспиратор -6шт;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остюм сварщика (подшлемник, куртка, штаны)-1 комплект;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Обувь сварочная-1 пара;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Краги сварщика для ММА и MIG/MAG-2пары;</w:t>
      </w:r>
      <w:r/>
    </w:p>
    <w:p>
      <w:pPr>
        <w:ind w:left="7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Перчатки сварщика для TIG -2пары</w:t>
      </w:r>
      <w:r/>
    </w:p>
    <w:p>
      <w:pPr>
        <w:ind w:firstLine="720"/>
        <w:jc w:val="both"/>
        <w:keepNext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3" w:name="_heading=h.v0620w7zqbq6"/>
      <w:r/>
      <w:bookmarkEnd w:id="13"/>
      <w:r>
        <w:rPr>
          <w:rFonts w:ascii="Times New Roman" w:hAnsi="Times New Roman" w:eastAsia="Times New Roman" w:cs="Times New Roman"/>
          <w:sz w:val="28"/>
          <w:szCs w:val="28"/>
        </w:rPr>
        <w:t xml:space="preserve">Личный инструмент участника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4" w:name="_heading=h.ccwbx4mjbkxw"/>
      <w:r/>
      <w:bookmarkEnd w:id="14"/>
      <w:r/>
      <w:r/>
    </w:p>
    <w:p>
      <w:pPr>
        <w:pStyle w:val="741"/>
        <w:jc w:val="center"/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15" w:name="_Toc126404553"/>
      <w:r>
        <w:rPr>
          <w:rFonts w:ascii="Times New Roman" w:hAnsi="Times New Roman" w:cs="Times New Roman"/>
          <w:sz w:val="28"/>
          <w:szCs w:val="28"/>
          <w:lang w:val="ru-RU"/>
        </w:rPr>
        <w:t xml:space="preserve">2.2.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Материалы, оборудование и инструменты, запрещенные на площадке</w:t>
      </w:r>
      <w:bookmarkEnd w:id="15"/>
      <w:r/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Запрещается использовать: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медные подкладки или керамические подкладочные ленты /пластины.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Приспособление для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поддува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газа можно использовать только для процесса РАД (141) TIG в проекте с конструкцией из высоколегированной стали.</w:t>
      </w:r>
      <w:r/>
    </w:p>
    <w:p>
      <w:pPr>
        <w:ind w:firstLine="70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Ограничивающие устройства не должны применяться при сварке образцов пластин. Перечень ограничивающих устройств: зажимы, колодки, сварочные кондукторы или стальные пластины, приваренные к испытательным пластинам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прихваточным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швом.</w:t>
      </w:r>
      <w:r/>
    </w:p>
    <w:p>
      <w:pPr>
        <w:pStyle w:val="74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6" w:name="_Toc126404554"/>
      <w:r>
        <w:rPr>
          <w:rFonts w:ascii="Times New Roman" w:hAnsi="Times New Roman" w:cs="Times New Roman"/>
          <w:sz w:val="28"/>
          <w:szCs w:val="28"/>
          <w:lang w:val="ru-RU"/>
        </w:rPr>
        <w:t xml:space="preserve">3. Приложения</w:t>
      </w:r>
      <w:bookmarkEnd w:id="16"/>
      <w:r/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№1 </w:t>
      </w:r>
      <w:hyperlink r:id="rId19" w:tooltip="https://disk.yandex.ru/edit/disk/disk%2F%D0%A7%D0%95%D0%9C%D0%9F%D0%98%D0%9E%D0%9D%D0%90%D0%A2%D0%AB %D0%9F%D0%A0%D0%9E%D0%A4.%D0%9C%D0%90%D0%A1%D0%A2%D0%95%D0%A0%D0%A1%D0%A2%D0%92%D0%90 %D0%98%D0%A0%D0%9F%D0%9E%2F%D0%BF%D0%BE%D1%8F%D1%81%D0%BD%D0%B5%D0%BD%D0%B8%D1%8F %D0%BA %D0%BC%D0%B0%D1%82%D1%80%D0%B8%D1%86%D0%B5.docx?sk=y35b16720b109c05cf51b5dd5cfc3a7e7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Инструкция по заполнению матрицы конкурсного задания</w:t>
        </w:r>
      </w:hyperlink>
      <w:r/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№2 </w:t>
      </w:r>
      <w:hyperlink r:id="rId20" w:tooltip="https://disk.yandex.ru/edit/disk/disk%2F%D0%A7%D0%95%D0%9C%D0%9F%D0%98%D0%9E%D0%9D%D0%90%D0%A2%D0%AB %D0%9F%D0%A0%D0%9E%D0%A4.%D0%9C%D0%90%D0%A1%D0%A2%D0%95%D0%A0%D0%A1%D0%A2%D0%92%D0%90 %D0%98%D0%A0%D0%9F%D0%9E%2F%D0%9C%D0%B0%D1%82%D1%80%D0%B8%D1%86%D0%B0.xlsx?sk=y35b16720b109c05cf51b5dd5cfc3a7e7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Матрица конкурсного задания</w:t>
        </w:r>
      </w:hyperlink>
      <w:r/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21" w:tooltip="https://disk.yandex.ru/edit/disk/disk%2F%D0%A7%D0%95%D0%9C%D0%9F%D0%98%D0%9E%D0%9D%D0%90%D0%A2%D0%AB %D0%9F%D0%A0%D0%9E%D0%A4.%D0%9C%D0%90%D0%A1%D0%A2%D0%95%D0%A0%D0%A1%D0%A2%D0%92%D0%90 %D0%98%D0%A0%D0%9F%D0%9E%2F%D0%9A%D0%9E %D0%BD%D0%BE%D0%B2%D1%8B%D0%B5.xlsx?sk=y35b16720b109c05cf51b5dd5cfc3a7e7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Критерии оценки</w:t>
        </w:r>
      </w:hyperlink>
      <w:r/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22" w:tooltip="https://disk.yandex.ru/edit/disk/disk%2F%D0%A7%D0%95%D0%9C%D0%9F%D0%98%D0%9E%D0%9D%D0%90%D0%A2%D0%AB %D0%9F%D0%A0%D0%9E%D0%A4.%D0%9C%D0%90%D0%A1%D0%A2%D0%95%D0%A0%D0%A1%D0%A2%D0%92%D0%90 %D0%98%D0%A0%D0%9F%D0%9E%2F%D0%9E%D0%A2 %D0%B4%D0%BB%D1%8F %D0%A0%D0%A7 2023.docx?sk=y35b16720b109c05cf51b5dd5cfc3a7e7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Инструкция по охране труда по компетенции «Сварочные технологии».</w:t>
        </w:r>
      </w:hyperlink>
      <w:r/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23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A - %D0%A0%D0%A7 2023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Чертеж Модуль “А”   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24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%D0%91 - %D0%A0%D0%A7 2023(1)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Чертеж Модуль “Б</w:t>
        </w:r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”</w:t>
        </w:r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 (сб. св.)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hyperlink r:id="rId25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%D0%91 - %D0%A0%D0%A7 2023(2) (2)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чертеж Модуль “Б” (дет.) 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hyperlink r:id="rId26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%D0%92 - %D0%A0%D0%A7 2023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Чертеж Модуль “В”    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</w:t>
      </w:r>
      <w:hyperlink r:id="rId27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%D0%93 - %D0%A0%D0%A7 2023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 Чертеж Модуль “Г”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    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28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%D0%94 - %D0%A0%D0%A7 2023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Чертеж Модуль “Д”   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29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%D0%95 - %D0%A0%D0%A7 2023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Чертеж М</w:t>
        </w:r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о</w:t>
        </w:r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дуль “Е”    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30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%D0%96 - %D0%A0%D0%A7 2023(1)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Чертеж Модуль “Ж” (сб. св.)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hyperlink r:id="rId31" w:tooltip="https://disk.yandex.ru/client/disk/%D0%A7%D0%95%D0%9C%D0%9F%D0%98%D0%9E%D0%9D%D0%90%D0%A2%D0%AB %D0%9F%D0%A0%D0%9E%D0%A4.%D0%9C%D0%90%D0%A1%D0%A2%D0%95%D0%A0%D0%A1%D0%A2%D0%92%D0%90 %D0%98%D0%A0%D0%9F%D0%9E/%D0%A7%D0%95%D0%A0%D0%A2%D0%95%D0%96%D0%98?idApp=client&amp;dialog=slider&amp;idDialog=%2Fdisk%2F%D0%A7%D0%95%D0%9C%D0%9F%D0%98%D0%9E%D0%9D%D0%90%D0%A2%D0%AB %D0%9F%D0%A0%D0%9E%D0%A4.%D0%9C%D0%90%D0%A1%D0%A2%D0%95%D0%A0%D0%A1%D0%A2%D0%92%D0%90 %D0%98%D0%A0%D0%9F%D0%9E%2F%D0%A7%D0%95%D0%A0%D0%A2%D0%95%D0%96%D0%98%2F%D0%9C%D0%BE%D0%B4 %D0%96 - %D0%A0%D0%A7 2023(2).jpg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чертеж Модуль “Ж” (дет.)    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32" w:tooltip="https://disk.yandex.ru/edit/disk/disk%2F%D0%A7%D0%95%D0%9C%D0%9F%D0%98%D0%9E%D0%9D%D0%90%D0%A2%D0%AB %D0%9F%D0%A0%D0%9E%D0%A4.%D0%9C%D0%90%D0%A1%D0%A2%D0%95%D0%A0%D0%A1%D0%A2%D0%92%D0%90 %D0%98%D0%A0%D0%9F%D0%9E%2F%D0%A2%D0%B5%D1%85%D0%BD%D0%BE%D0%BB%D0%BE%D0%B3%D0%B8%D1%87%D0%B5%D1%81%D0%BA%D0%B8%D0%B5 %D0%BA%D0%B0%D1%80%D1%82%D1%8B%2F%D0%A8%D0%B0%D0%B1%D0%BB%D0%BE%D0%BD %D0%A2%D0%9A.xlsx?sk=y35b16720b109c05cf51b5dd5cfc3a7e7" w:history="1">
        <w:r>
          <w:rPr>
            <w:rStyle w:val="925"/>
            <w:rFonts w:ascii="Times New Roman" w:hAnsi="Times New Roman" w:eastAsia="Times New Roman" w:cs="Times New Roman"/>
            <w:sz w:val="28"/>
            <w:szCs w:val="28"/>
          </w:rPr>
          <w:t xml:space="preserve">Шаблон Технологической карты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(для заполнения по КСС и модулям)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keepNext/>
        <w:spacing w:after="0" w:line="360" w:lineRule="auto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1" w:bottom="1134" w:left="1701" w:header="624" w:footer="170" w:gutter="0"/>
      <w:pgNumType w:start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frutigerltstd-light">
    <w:panose1 w:val="05040102010807070707"/>
  </w:font>
  <w:font w:name="Segoe UI">
    <w:panose1 w:val="020B0502040504020204"/>
  </w:font>
  <w:font w:name="DejaVu Sans">
    <w:panose1 w:val="020B0603030804020204"/>
  </w:font>
  <w:font w:name="Cambria">
    <w:panose1 w:val="020206030504050203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76" w:lineRule="auto"/>
      <w:widowControl w:val="off"/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</w:r>
    <w:r/>
  </w:p>
  <w:tbl>
    <w:tblPr>
      <w:tblStyle w:val="988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spacing w:after="0" w:line="240" w:lineRule="auto"/>
            <w:tabs>
              <w:tab w:val="center" w:pos="4677" w:leader="none"/>
              <w:tab w:val="right" w:pos="9355" w:leader="none"/>
            </w:tabs>
            <w:rPr>
              <w:rFonts w:ascii="Times New Roman" w:hAnsi="Times New Roman" w:eastAsia="Times New Roman" w:cs="Times New Roman"/>
              <w:smallCaps/>
              <w:color w:val="000000"/>
              <w:sz w:val="18"/>
              <w:szCs w:val="1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eastAsia="Times New Roman" w:cs="Times New Roman"/>
              <w:smallCaps/>
              <w:color w:val="000000"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jc w:val="right"/>
            <w:spacing w:after="0" w:line="240" w:lineRule="auto"/>
            <w:tabs>
              <w:tab w:val="center" w:pos="4677" w:leader="none"/>
              <w:tab w:val="right" w:pos="9355" w:leader="none"/>
            </w:tabs>
            <w:rPr>
              <w:rFonts w:ascii="Times New Roman" w:hAnsi="Times New Roman" w:eastAsia="Times New Roman" w:cs="Times New Roman"/>
              <w:smallCaps/>
              <w:color w:val="000000"/>
              <w:sz w:val="18"/>
              <w:szCs w:val="1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eastAsia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hAnsi="Times New Roman" w:eastAsia="Times New Roman" w:cs="Times New Roman"/>
              <w:smallCaps/>
              <w:color w:val="000000"/>
              <w:sz w:val="18"/>
              <w:szCs w:val="18"/>
            </w:rPr>
            <w:instrText xml:space="preserve">PAGE</w:instrText>
          </w:r>
          <w:r>
            <w:rPr>
              <w:rFonts w:ascii="Times New Roman" w:hAnsi="Times New Roman" w:eastAsia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>
            <w:rPr>
              <w:rFonts w:ascii="Times New Roman" w:hAnsi="Times New Roman" w:eastAsia="Times New Roman" w:cs="Times New Roman"/>
              <w:smallCaps/>
              <w:color w:val="000000"/>
              <w:sz w:val="18"/>
              <w:szCs w:val="18"/>
            </w:rPr>
            <w:t xml:space="preserve">1</w:t>
          </w:r>
          <w:r>
            <w:rPr>
              <w:rFonts w:ascii="Times New Roman" w:hAnsi="Times New Roman" w:eastAsia="Times New Roman" w:cs="Times New Roman"/>
              <w:smallCaps/>
              <w:color w:val="000000"/>
              <w:sz w:val="18"/>
              <w:szCs w:val="18"/>
            </w:rPr>
            <w:fldChar w:fldCharType="end"/>
          </w:r>
          <w:r/>
        </w:p>
      </w:tc>
    </w:tr>
  </w:tbl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709"/>
      <w:jc w:val="both"/>
      <w:keepNext/>
      <w:spacing w:after="0" w:line="360" w:lineRule="auto"/>
      <w:rPr>
        <w:rFonts w:ascii="Times New Roman" w:hAnsi="Times New Roman" w:eastAsia="Times New Roman" w:cs="Times New Roman"/>
        <w:b/>
        <w:sz w:val="24"/>
        <w:szCs w:val="24"/>
      </w:rPr>
    </w:pPr>
    <w:r/>
    <w:bookmarkStart w:id="17" w:name="_heading=h.4upsrdyq9eqz"/>
    <w:r/>
    <w:bookmarkEnd w:id="17"/>
    <w:r/>
    <w:r/>
  </w:p>
  <w:p>
    <w:pPr>
      <w:spacing w:after="0" w:line="240" w:lineRule="auto"/>
      <w:tabs>
        <w:tab w:val="center" w:pos="4677" w:leader="none"/>
        <w:tab w:val="right" w:pos="9355" w:leader="none"/>
        <w:tab w:val="right" w:pos="10631" w:leader="none"/>
      </w:tabs>
      <w:rPr>
        <w:rFonts w:ascii="Times New Roman" w:hAnsi="Times New Roman" w:eastAsia="Times New Roman" w:cs="Times New Roman"/>
        <w:b/>
        <w:sz w:val="24"/>
        <w:szCs w:val="24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b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48" w:hanging="360"/>
      </w:pPr>
      <w:rPr>
        <w:rFonts w:ascii="Arial" w:hAnsi="Arial" w:eastAsia="Arial" w:cs="Arial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30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078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4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16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386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5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24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6">
    <w:multiLevelType w:val="hybridMultilevel"/>
    <w:lvl w:ilvl="0">
      <w:start w:val="1"/>
      <w:numFmt w:val="bullet"/>
      <w:pStyle w:val="947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48" w:hanging="360"/>
      </w:pPr>
      <w:rPr>
        <w:rFonts w:ascii="Arial" w:hAnsi="Arial" w:eastAsia="Arial" w:cs="Arial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30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078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4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16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386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5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24" w:hanging="360"/>
      </w:pPr>
    </w:lvl>
  </w:abstractNum>
  <w:abstractNum w:abstractNumId="7">
    <w:multiLevelType w:val="hybridMultilevel"/>
    <w:lvl w:ilvl="0">
      <w:start w:val="1"/>
      <w:numFmt w:val="bullet"/>
      <w:pStyle w:val="929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abstractNum w:abstractNumId="11">
    <w:multiLevelType w:val="hybridMultilevel"/>
    <w:lvl w:ilvl="0">
      <w:start w:val="1"/>
      <w:numFmt w:val="bullet"/>
      <w:pStyle w:val="961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48" w:hanging="360"/>
      </w:pPr>
      <w:rPr>
        <w:rFonts w:ascii="Arial" w:hAnsi="Arial" w:eastAsia="Arial" w:cs="Arial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30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078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4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16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386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5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24" w:hanging="360"/>
      </w:pPr>
    </w:lvl>
  </w:abstractNum>
  <w:abstractNum w:abstractNumId="12">
    <w:multiLevelType w:val="hybridMultilevel"/>
    <w:lvl w:ilvl="0">
      <w:start w:val="1"/>
      <w:numFmt w:val="bullet"/>
      <w:pStyle w:val="973"/>
      <w:isLgl w:val="false"/>
      <w:suff w:val="tab"/>
      <w:lvlText w:val="•"/>
      <w:lvlJc w:val="left"/>
      <w:pPr>
        <w:ind w:left="827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84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2348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3112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387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4641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5405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6170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6934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748"/>
    <w:link w:val="906"/>
    <w:uiPriority w:val="10"/>
    <w:rPr>
      <w:sz w:val="48"/>
      <w:szCs w:val="48"/>
    </w:rPr>
  </w:style>
  <w:style w:type="character" w:styleId="36">
    <w:name w:val="Subtitle Char"/>
    <w:basedOn w:val="748"/>
    <w:link w:val="980"/>
    <w:uiPriority w:val="11"/>
    <w:rPr>
      <w:sz w:val="24"/>
      <w:szCs w:val="24"/>
    </w:rPr>
  </w:style>
  <w:style w:type="character" w:styleId="38">
    <w:name w:val="Quote Char"/>
    <w:link w:val="762"/>
    <w:uiPriority w:val="29"/>
    <w:rPr>
      <w:i/>
    </w:rPr>
  </w:style>
  <w:style w:type="character" w:styleId="40">
    <w:name w:val="Intense Quote Char"/>
    <w:link w:val="764"/>
    <w:uiPriority w:val="30"/>
    <w:rPr>
      <w:i/>
    </w:rPr>
  </w:style>
  <w:style w:type="character" w:styleId="178">
    <w:name w:val="Endnote Text Char"/>
    <w:link w:val="895"/>
    <w:uiPriority w:val="99"/>
    <w:rPr>
      <w:sz w:val="20"/>
    </w:rPr>
  </w:style>
  <w:style w:type="paragraph" w:styleId="738" w:default="1">
    <w:name w:val="Normal"/>
    <w:qFormat/>
  </w:style>
  <w:style w:type="paragraph" w:styleId="739">
    <w:name w:val="Heading 1"/>
    <w:basedOn w:val="738"/>
    <w:next w:val="738"/>
    <w:link w:val="916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40">
    <w:name w:val="Heading 2"/>
    <w:basedOn w:val="738"/>
    <w:next w:val="738"/>
    <w:link w:val="917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41">
    <w:name w:val="Heading 3"/>
    <w:basedOn w:val="738"/>
    <w:next w:val="738"/>
    <w:link w:val="918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42">
    <w:name w:val="Heading 4"/>
    <w:basedOn w:val="738"/>
    <w:next w:val="738"/>
    <w:link w:val="919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43">
    <w:name w:val="Heading 5"/>
    <w:basedOn w:val="738"/>
    <w:next w:val="738"/>
    <w:link w:val="920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44">
    <w:name w:val="Heading 6"/>
    <w:basedOn w:val="738"/>
    <w:next w:val="738"/>
    <w:link w:val="921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45">
    <w:name w:val="Heading 7"/>
    <w:basedOn w:val="738"/>
    <w:next w:val="738"/>
    <w:link w:val="922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46">
    <w:name w:val="Heading 8"/>
    <w:basedOn w:val="738"/>
    <w:next w:val="738"/>
    <w:link w:val="923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47">
    <w:name w:val="Heading 9"/>
    <w:basedOn w:val="738"/>
    <w:next w:val="738"/>
    <w:link w:val="924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Heading 1 Char"/>
    <w:basedOn w:val="748"/>
    <w:uiPriority w:val="9"/>
    <w:rPr>
      <w:rFonts w:ascii="Arial" w:hAnsi="Arial" w:eastAsia="Arial" w:cs="Arial"/>
      <w:sz w:val="40"/>
      <w:szCs w:val="40"/>
    </w:rPr>
  </w:style>
  <w:style w:type="character" w:styleId="752" w:customStyle="1">
    <w:name w:val="Heading 2 Char"/>
    <w:basedOn w:val="748"/>
    <w:uiPriority w:val="9"/>
    <w:rPr>
      <w:rFonts w:ascii="Arial" w:hAnsi="Arial" w:eastAsia="Arial" w:cs="Arial"/>
      <w:sz w:val="34"/>
    </w:rPr>
  </w:style>
  <w:style w:type="character" w:styleId="753" w:customStyle="1">
    <w:name w:val="Heading 3 Char"/>
    <w:basedOn w:val="748"/>
    <w:uiPriority w:val="9"/>
    <w:rPr>
      <w:rFonts w:ascii="Arial" w:hAnsi="Arial" w:eastAsia="Arial" w:cs="Arial"/>
      <w:sz w:val="30"/>
      <w:szCs w:val="30"/>
    </w:rPr>
  </w:style>
  <w:style w:type="character" w:styleId="754" w:customStyle="1">
    <w:name w:val="Heading 4 Char"/>
    <w:basedOn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55" w:customStyle="1">
    <w:name w:val="Heading 5 Char"/>
    <w:basedOn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56" w:customStyle="1">
    <w:name w:val="Heading 6 Char"/>
    <w:basedOn w:val="748"/>
    <w:uiPriority w:val="9"/>
    <w:rPr>
      <w:rFonts w:ascii="Arial" w:hAnsi="Arial" w:eastAsia="Arial" w:cs="Arial"/>
      <w:b/>
      <w:bCs/>
      <w:sz w:val="22"/>
      <w:szCs w:val="22"/>
    </w:rPr>
  </w:style>
  <w:style w:type="character" w:styleId="757" w:customStyle="1">
    <w:name w:val="Heading 7 Char"/>
    <w:basedOn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8" w:customStyle="1">
    <w:name w:val="Heading 8 Char"/>
    <w:basedOn w:val="748"/>
    <w:uiPriority w:val="9"/>
    <w:rPr>
      <w:rFonts w:ascii="Arial" w:hAnsi="Arial" w:eastAsia="Arial" w:cs="Arial"/>
      <w:i/>
      <w:iCs/>
      <w:sz w:val="22"/>
      <w:szCs w:val="22"/>
    </w:rPr>
  </w:style>
  <w:style w:type="character" w:styleId="759" w:customStyle="1">
    <w:name w:val="Heading 9 Char"/>
    <w:basedOn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60" w:customStyle="1">
    <w:name w:val="Заголовок Знак"/>
    <w:basedOn w:val="748"/>
    <w:link w:val="906"/>
    <w:uiPriority w:val="10"/>
    <w:rPr>
      <w:sz w:val="48"/>
      <w:szCs w:val="48"/>
    </w:rPr>
  </w:style>
  <w:style w:type="character" w:styleId="761" w:customStyle="1">
    <w:name w:val="Подзаголовок Знак"/>
    <w:basedOn w:val="748"/>
    <w:link w:val="980"/>
    <w:uiPriority w:val="11"/>
    <w:rPr>
      <w:sz w:val="24"/>
      <w:szCs w:val="24"/>
    </w:rPr>
  </w:style>
  <w:style w:type="paragraph" w:styleId="762">
    <w:name w:val="Quote"/>
    <w:basedOn w:val="738"/>
    <w:next w:val="738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38"/>
    <w:next w:val="738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Выделенная цитата Знак"/>
    <w:link w:val="764"/>
    <w:uiPriority w:val="30"/>
    <w:rPr>
      <w:i/>
    </w:rPr>
  </w:style>
  <w:style w:type="character" w:styleId="766" w:customStyle="1">
    <w:name w:val="Header Char"/>
    <w:basedOn w:val="748"/>
    <w:uiPriority w:val="99"/>
  </w:style>
  <w:style w:type="character" w:styleId="767" w:customStyle="1">
    <w:name w:val="Footer Char"/>
    <w:basedOn w:val="748"/>
    <w:uiPriority w:val="99"/>
  </w:style>
  <w:style w:type="character" w:styleId="768" w:customStyle="1">
    <w:name w:val="Caption Char"/>
    <w:uiPriority w:val="99"/>
  </w:style>
  <w:style w:type="table" w:styleId="769" w:customStyle="1">
    <w:name w:val="Table Grid Light"/>
    <w:basedOn w:val="7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0">
    <w:name w:val="Plain Table 1"/>
    <w:basedOn w:val="7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74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 w:customStyle="1">
    <w:name w:val="Grid Table 4 - Accent 1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8" w:customStyle="1">
    <w:name w:val="Grid Table 4 - Accent 2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9" w:customStyle="1">
    <w:name w:val="Grid Table 4 - Accent 3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0" w:customStyle="1">
    <w:name w:val="Grid Table 4 - Accent 4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1" w:customStyle="1">
    <w:name w:val="Grid Table 4 - Accent 5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2" w:customStyle="1">
    <w:name w:val="Grid Table 4 - Accent 6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3">
    <w:name w:val="Grid Table 5 Dark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0">
    <w:name w:val="Grid Table 6 Colorful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2" w:customStyle="1">
    <w:name w:val="Grid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 w:customStyle="1">
    <w:name w:val="Grid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>
    <w:name w:val="Grid Table 7 Colorful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1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2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3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4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5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6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>
    <w:name w:val="List Table 6 Colorful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0" w:customStyle="1">
    <w:name w:val="List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1" w:customStyle="1">
    <w:name w:val="List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2" w:customStyle="1">
    <w:name w:val="List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3" w:customStyle="1">
    <w:name w:val="List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4" w:customStyle="1">
    <w:name w:val="List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5" w:customStyle="1">
    <w:name w:val="List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6">
    <w:name w:val="List Table 7 Colorful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ned - Accent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4" w:customStyle="1">
    <w:name w:val="Lined - Accent 1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5" w:customStyle="1">
    <w:name w:val="Lined - Accent 2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6" w:customStyle="1">
    <w:name w:val="Lined - Accent 3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7" w:customStyle="1">
    <w:name w:val="Lined - Accent 4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8" w:customStyle="1">
    <w:name w:val="Lined - Accent 5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9" w:customStyle="1">
    <w:name w:val="Lined - Accent 6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0" w:customStyle="1">
    <w:name w:val="Bordered &amp; Lined - Accent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1" w:customStyle="1">
    <w:name w:val="Bordered &amp; Lined - Accent 1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2" w:customStyle="1">
    <w:name w:val="Bordered &amp; Lined - Accent 2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3" w:customStyle="1">
    <w:name w:val="Bordered &amp; Lined - Accent 3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4" w:customStyle="1">
    <w:name w:val="Bordered &amp; Lined - Accent 4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5" w:customStyle="1">
    <w:name w:val="Bordered &amp; Lined - Accent 5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6" w:customStyle="1">
    <w:name w:val="Bordered &amp; Lined - Accent 6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7" w:customStyle="1">
    <w:name w:val="Bordered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8" w:customStyle="1">
    <w:name w:val="Bordered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9" w:customStyle="1">
    <w:name w:val="Bordered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0" w:customStyle="1">
    <w:name w:val="Bordered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1" w:customStyle="1">
    <w:name w:val="Bordered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2" w:customStyle="1">
    <w:name w:val="Bordered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3" w:customStyle="1">
    <w:name w:val="Bordered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4" w:customStyle="1">
    <w:name w:val="Footnote Text Char"/>
    <w:uiPriority w:val="99"/>
    <w:rPr>
      <w:sz w:val="18"/>
    </w:rPr>
  </w:style>
  <w:style w:type="paragraph" w:styleId="895">
    <w:name w:val="endnote text"/>
    <w:basedOn w:val="738"/>
    <w:link w:val="896"/>
    <w:uiPriority w:val="99"/>
    <w:semiHidden/>
    <w:unhideWhenUsed/>
    <w:pPr>
      <w:spacing w:after="0" w:line="240" w:lineRule="auto"/>
    </w:pPr>
    <w:rPr>
      <w:sz w:val="20"/>
    </w:rPr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basedOn w:val="748"/>
    <w:uiPriority w:val="99"/>
    <w:semiHidden/>
    <w:unhideWhenUsed/>
    <w:rPr>
      <w:vertAlign w:val="superscript"/>
    </w:rPr>
  </w:style>
  <w:style w:type="paragraph" w:styleId="898">
    <w:name w:val="toc 4"/>
    <w:basedOn w:val="738"/>
    <w:next w:val="738"/>
    <w:uiPriority w:val="39"/>
    <w:unhideWhenUsed/>
    <w:pPr>
      <w:ind w:left="660"/>
      <w:spacing w:after="0"/>
    </w:pPr>
    <w:rPr>
      <w:rFonts w:asciiTheme="minorHAnsi" w:hAnsiTheme="minorHAnsi"/>
      <w:sz w:val="20"/>
      <w:szCs w:val="20"/>
    </w:rPr>
  </w:style>
  <w:style w:type="paragraph" w:styleId="899">
    <w:name w:val="toc 5"/>
    <w:basedOn w:val="738"/>
    <w:next w:val="738"/>
    <w:uiPriority w:val="39"/>
    <w:unhideWhenUsed/>
    <w:pPr>
      <w:ind w:left="880"/>
      <w:spacing w:after="0"/>
    </w:pPr>
    <w:rPr>
      <w:rFonts w:asciiTheme="minorHAnsi" w:hAnsiTheme="minorHAnsi"/>
      <w:sz w:val="20"/>
      <w:szCs w:val="20"/>
    </w:rPr>
  </w:style>
  <w:style w:type="paragraph" w:styleId="900">
    <w:name w:val="toc 6"/>
    <w:basedOn w:val="738"/>
    <w:next w:val="738"/>
    <w:uiPriority w:val="39"/>
    <w:unhideWhenUsed/>
    <w:pPr>
      <w:ind w:left="1100"/>
      <w:spacing w:after="0"/>
    </w:pPr>
    <w:rPr>
      <w:rFonts w:asciiTheme="minorHAnsi" w:hAnsiTheme="minorHAnsi"/>
      <w:sz w:val="20"/>
      <w:szCs w:val="20"/>
    </w:rPr>
  </w:style>
  <w:style w:type="paragraph" w:styleId="901">
    <w:name w:val="toc 7"/>
    <w:basedOn w:val="738"/>
    <w:next w:val="738"/>
    <w:uiPriority w:val="39"/>
    <w:unhideWhenUsed/>
    <w:pPr>
      <w:ind w:left="1320"/>
      <w:spacing w:after="0"/>
    </w:pPr>
    <w:rPr>
      <w:rFonts w:asciiTheme="minorHAnsi" w:hAnsiTheme="minorHAnsi"/>
      <w:sz w:val="20"/>
      <w:szCs w:val="20"/>
    </w:rPr>
  </w:style>
  <w:style w:type="paragraph" w:styleId="902">
    <w:name w:val="toc 8"/>
    <w:basedOn w:val="738"/>
    <w:next w:val="738"/>
    <w:uiPriority w:val="39"/>
    <w:unhideWhenUsed/>
    <w:pPr>
      <w:ind w:left="1540"/>
      <w:spacing w:after="0"/>
    </w:pPr>
    <w:rPr>
      <w:rFonts w:asciiTheme="minorHAnsi" w:hAnsiTheme="minorHAnsi"/>
      <w:sz w:val="20"/>
      <w:szCs w:val="20"/>
    </w:rPr>
  </w:style>
  <w:style w:type="paragraph" w:styleId="903">
    <w:name w:val="toc 9"/>
    <w:basedOn w:val="738"/>
    <w:next w:val="738"/>
    <w:uiPriority w:val="39"/>
    <w:unhideWhenUsed/>
    <w:pPr>
      <w:ind w:left="1760"/>
      <w:spacing w:after="0"/>
    </w:pPr>
    <w:rPr>
      <w:rFonts w:asciiTheme="minorHAnsi" w:hAnsiTheme="minorHAnsi"/>
      <w:sz w:val="20"/>
      <w:szCs w:val="20"/>
    </w:rPr>
  </w:style>
  <w:style w:type="paragraph" w:styleId="904">
    <w:name w:val="table of figures"/>
    <w:basedOn w:val="738"/>
    <w:next w:val="738"/>
    <w:uiPriority w:val="99"/>
    <w:unhideWhenUsed/>
    <w:pPr>
      <w:spacing w:after="0"/>
    </w:pPr>
  </w:style>
  <w:style w:type="table" w:styleId="90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06">
    <w:name w:val="Title"/>
    <w:basedOn w:val="738"/>
    <w:next w:val="738"/>
    <w:link w:val="760"/>
    <w:pPr>
      <w:keepLines/>
      <w:keepNext/>
      <w:spacing w:before="480" w:after="120"/>
    </w:pPr>
    <w:rPr>
      <w:b/>
      <w:sz w:val="72"/>
      <w:szCs w:val="72"/>
    </w:rPr>
  </w:style>
  <w:style w:type="paragraph" w:styleId="907">
    <w:name w:val="Header"/>
    <w:basedOn w:val="738"/>
    <w:link w:val="9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Верхний колонтитул Знак"/>
    <w:basedOn w:val="748"/>
    <w:link w:val="907"/>
    <w:uiPriority w:val="99"/>
  </w:style>
  <w:style w:type="paragraph" w:styleId="909">
    <w:name w:val="Footer"/>
    <w:basedOn w:val="738"/>
    <w:link w:val="91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0" w:customStyle="1">
    <w:name w:val="Нижний колонтитул Знак"/>
    <w:basedOn w:val="748"/>
    <w:link w:val="909"/>
    <w:uiPriority w:val="99"/>
  </w:style>
  <w:style w:type="paragraph" w:styleId="911">
    <w:name w:val="No Spacing"/>
    <w:link w:val="912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12" w:customStyle="1">
    <w:name w:val="Без интервала Знак"/>
    <w:basedOn w:val="748"/>
    <w:link w:val="911"/>
    <w:uiPriority w:val="1"/>
    <w:rPr>
      <w:rFonts w:eastAsiaTheme="minorEastAsia"/>
      <w:lang w:eastAsia="ru-RU"/>
    </w:rPr>
  </w:style>
  <w:style w:type="character" w:styleId="913">
    <w:name w:val="Placeholder Text"/>
    <w:basedOn w:val="748"/>
    <w:uiPriority w:val="99"/>
    <w:semiHidden/>
    <w:rPr>
      <w:color w:val="808080"/>
    </w:rPr>
  </w:style>
  <w:style w:type="paragraph" w:styleId="914">
    <w:name w:val="Balloon Text"/>
    <w:basedOn w:val="738"/>
    <w:link w:val="91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5" w:customStyle="1">
    <w:name w:val="Текст выноски Знак"/>
    <w:basedOn w:val="748"/>
    <w:link w:val="914"/>
    <w:rPr>
      <w:rFonts w:ascii="Tahoma" w:hAnsi="Tahoma" w:cs="Tahoma"/>
      <w:sz w:val="16"/>
      <w:szCs w:val="16"/>
    </w:rPr>
  </w:style>
  <w:style w:type="character" w:styleId="916" w:customStyle="1">
    <w:name w:val="Заголовок 1 Знак"/>
    <w:basedOn w:val="748"/>
    <w:link w:val="739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917" w:customStyle="1">
    <w:name w:val="Заголовок 2 Знак"/>
    <w:basedOn w:val="748"/>
    <w:link w:val="740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918" w:customStyle="1">
    <w:name w:val="Заголовок 3 Знак"/>
    <w:basedOn w:val="748"/>
    <w:link w:val="741"/>
    <w:rPr>
      <w:rFonts w:ascii="Arial" w:hAnsi="Arial" w:eastAsia="Times New Roman" w:cs="Arial"/>
      <w:b/>
      <w:bCs/>
      <w:szCs w:val="26"/>
      <w:lang w:val="en-GB"/>
    </w:rPr>
  </w:style>
  <w:style w:type="character" w:styleId="919" w:customStyle="1">
    <w:name w:val="Заголовок 4 Знак"/>
    <w:basedOn w:val="748"/>
    <w:link w:val="742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920" w:customStyle="1">
    <w:name w:val="Заголовок 5 Знак"/>
    <w:basedOn w:val="748"/>
    <w:link w:val="743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921" w:customStyle="1">
    <w:name w:val="Заголовок 6 Знак"/>
    <w:basedOn w:val="748"/>
    <w:link w:val="744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922" w:customStyle="1">
    <w:name w:val="Заголовок 7 Знак"/>
    <w:basedOn w:val="748"/>
    <w:link w:val="745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923" w:customStyle="1">
    <w:name w:val="Заголовок 8 Знак"/>
    <w:basedOn w:val="748"/>
    <w:link w:val="746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24" w:customStyle="1">
    <w:name w:val="Заголовок 9 Знак"/>
    <w:basedOn w:val="748"/>
    <w:link w:val="747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925">
    <w:name w:val="Hyperlink"/>
    <w:uiPriority w:val="99"/>
    <w:rPr>
      <w:color w:val="0000ff"/>
      <w:u w:val="single"/>
    </w:rPr>
  </w:style>
  <w:style w:type="table" w:styleId="926">
    <w:name w:val="Table Grid"/>
    <w:basedOn w:val="74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7">
    <w:name w:val="toc 1"/>
    <w:basedOn w:val="738"/>
    <w:next w:val="738"/>
    <w:uiPriority w:val="39"/>
    <w:qFormat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928" w:customStyle="1">
    <w:name w:val="numbered list"/>
    <w:basedOn w:val="929"/>
  </w:style>
  <w:style w:type="paragraph" w:styleId="929" w:customStyle="1">
    <w:name w:val="bullet"/>
    <w:basedOn w:val="738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30">
    <w:name w:val="page number"/>
    <w:rPr>
      <w:rFonts w:ascii="Arial" w:hAnsi="Arial"/>
      <w:sz w:val="16"/>
    </w:rPr>
  </w:style>
  <w:style w:type="paragraph" w:styleId="931" w:customStyle="1">
    <w:name w:val="Doc subtitle1"/>
    <w:basedOn w:val="738"/>
    <w:link w:val="942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932" w:customStyle="1">
    <w:name w:val="Doc subtitle2"/>
    <w:basedOn w:val="738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933" w:customStyle="1">
    <w:name w:val="Doc title"/>
    <w:basedOn w:val="738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934">
    <w:name w:val="Body Text"/>
    <w:basedOn w:val="738"/>
    <w:link w:val="935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935" w:customStyle="1">
    <w:name w:val="Основной текст Знак"/>
    <w:basedOn w:val="748"/>
    <w:link w:val="934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936">
    <w:name w:val="Body Text Indent 2"/>
    <w:basedOn w:val="738"/>
    <w:link w:val="937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937" w:customStyle="1">
    <w:name w:val="Основной текст с отступом 2 Знак"/>
    <w:basedOn w:val="748"/>
    <w:link w:val="936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938">
    <w:name w:val="Body Text 2"/>
    <w:basedOn w:val="738"/>
    <w:link w:val="939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939" w:customStyle="1">
    <w:name w:val="Основной текст 2 Знак"/>
    <w:basedOn w:val="748"/>
    <w:link w:val="938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940">
    <w:name w:val="Caption"/>
    <w:basedOn w:val="738"/>
    <w:next w:val="738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941" w:customStyle="1">
    <w:name w:val="Абзац списка1"/>
    <w:basedOn w:val="738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42" w:customStyle="1">
    <w:name w:val="Doc subtitle1 Char"/>
    <w:link w:val="931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943">
    <w:name w:val="footnote text"/>
    <w:basedOn w:val="738"/>
    <w:link w:val="944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44" w:customStyle="1">
    <w:name w:val="Текст сноски Знак"/>
    <w:basedOn w:val="748"/>
    <w:link w:val="943"/>
    <w:rPr>
      <w:rFonts w:ascii="Times New Roman" w:hAnsi="Times New Roman" w:eastAsia="Times New Roman" w:cs="Times New Roman"/>
      <w:szCs w:val="20"/>
      <w:lang w:eastAsia="ru-RU"/>
    </w:rPr>
  </w:style>
  <w:style w:type="character" w:styleId="945">
    <w:name w:val="footnote reference"/>
    <w:rPr>
      <w:vertAlign w:val="superscript"/>
    </w:rPr>
  </w:style>
  <w:style w:type="character" w:styleId="946">
    <w:name w:val="FollowedHyperlink"/>
    <w:rPr>
      <w:color w:val="800080"/>
      <w:u w:val="single"/>
    </w:rPr>
  </w:style>
  <w:style w:type="paragraph" w:styleId="947" w:customStyle="1">
    <w:name w:val="цветной текст"/>
    <w:basedOn w:val="738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948" w:customStyle="1">
    <w:name w:val="538552DCBB0F4C4BB087ED922D6A6322"/>
    <w:pPr>
      <w:spacing w:after="200" w:line="276" w:lineRule="auto"/>
    </w:pPr>
    <w:rPr>
      <w:rFonts w:eastAsia="Times New Roman" w:cs="Times New Roman"/>
      <w:lang w:eastAsia="ru-RU"/>
    </w:rPr>
  </w:style>
  <w:style w:type="paragraph" w:styleId="949" w:customStyle="1">
    <w:name w:val="выделение цвет"/>
    <w:basedOn w:val="738"/>
    <w:link w:val="962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50" w:customStyle="1">
    <w:name w:val="цвет в таблице"/>
    <w:rPr>
      <w:color w:val="2c8de6"/>
    </w:rPr>
  </w:style>
  <w:style w:type="paragraph" w:styleId="951">
    <w:name w:val="TOC Heading"/>
    <w:basedOn w:val="739"/>
    <w:next w:val="738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952">
    <w:name w:val="toc 2"/>
    <w:basedOn w:val="738"/>
    <w:next w:val="738"/>
    <w:uiPriority w:val="39"/>
    <w:qFormat/>
    <w:pPr>
      <w:ind w:left="220"/>
      <w:spacing w:before="120" w:after="0"/>
    </w:pPr>
    <w:rPr>
      <w:rFonts w:asciiTheme="minorHAnsi" w:hAnsiTheme="minorHAnsi"/>
      <w:b/>
      <w:bCs/>
    </w:rPr>
  </w:style>
  <w:style w:type="paragraph" w:styleId="953">
    <w:name w:val="toc 3"/>
    <w:basedOn w:val="738"/>
    <w:next w:val="738"/>
    <w:uiPriority w:val="39"/>
    <w:unhideWhenUsed/>
    <w:qFormat/>
    <w:pPr>
      <w:ind w:left="440"/>
      <w:spacing w:after="0"/>
    </w:pPr>
    <w:rPr>
      <w:rFonts w:asciiTheme="minorHAnsi" w:hAnsiTheme="minorHAnsi"/>
      <w:sz w:val="20"/>
      <w:szCs w:val="20"/>
    </w:rPr>
  </w:style>
  <w:style w:type="paragraph" w:styleId="954" w:customStyle="1">
    <w:name w:val="!Заголовок-1"/>
    <w:basedOn w:val="739"/>
    <w:link w:val="956"/>
    <w:qFormat/>
    <w:rPr>
      <w:lang w:val="ru-RU"/>
    </w:rPr>
  </w:style>
  <w:style w:type="paragraph" w:styleId="955" w:customStyle="1">
    <w:name w:val="!заголовок-2"/>
    <w:basedOn w:val="740"/>
    <w:link w:val="958"/>
    <w:qFormat/>
    <w:rPr>
      <w:lang w:val="ru-RU"/>
    </w:rPr>
  </w:style>
  <w:style w:type="character" w:styleId="956" w:customStyle="1">
    <w:name w:val="!Заголовок-1 Знак"/>
    <w:link w:val="954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957" w:customStyle="1">
    <w:name w:val="!Текст"/>
    <w:basedOn w:val="738"/>
    <w:link w:val="960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58" w:customStyle="1">
    <w:name w:val="!заголовок-2 Знак"/>
    <w:link w:val="955"/>
    <w:rPr>
      <w:rFonts w:ascii="Arial" w:hAnsi="Arial" w:eastAsia="Times New Roman" w:cs="Times New Roman"/>
      <w:b/>
      <w:sz w:val="28"/>
      <w:szCs w:val="24"/>
    </w:rPr>
  </w:style>
  <w:style w:type="paragraph" w:styleId="959" w:customStyle="1">
    <w:name w:val="!Синий заголовок текста"/>
    <w:basedOn w:val="949"/>
    <w:link w:val="963"/>
    <w:qFormat/>
  </w:style>
  <w:style w:type="character" w:styleId="960" w:customStyle="1">
    <w:name w:val="!Текст Знак"/>
    <w:link w:val="957"/>
    <w:rPr>
      <w:rFonts w:ascii="Times New Roman" w:hAnsi="Times New Roman" w:eastAsia="Times New Roman" w:cs="Times New Roman"/>
      <w:szCs w:val="20"/>
      <w:lang w:eastAsia="ru-RU"/>
    </w:rPr>
  </w:style>
  <w:style w:type="paragraph" w:styleId="961" w:customStyle="1">
    <w:name w:val="!Список с точками"/>
    <w:basedOn w:val="738"/>
    <w:link w:val="965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62" w:customStyle="1">
    <w:name w:val="выделение цвет Знак"/>
    <w:link w:val="949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63" w:customStyle="1">
    <w:name w:val="!Синий заголовок текста Знак"/>
    <w:link w:val="959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964">
    <w:name w:val="List Paragraph"/>
    <w:basedOn w:val="738"/>
    <w:link w:val="979"/>
    <w:uiPriority w:val="34"/>
    <w:qFormat/>
    <w:pPr>
      <w:contextualSpacing/>
      <w:ind w:left="720"/>
      <w:spacing w:after="200" w:line="276" w:lineRule="auto"/>
    </w:pPr>
    <w:rPr>
      <w:rFonts w:cs="Times New Roman"/>
    </w:rPr>
  </w:style>
  <w:style w:type="character" w:styleId="965" w:customStyle="1">
    <w:name w:val="!Список с точками Знак"/>
    <w:link w:val="961"/>
    <w:rPr>
      <w:rFonts w:ascii="Times New Roman" w:hAnsi="Times New Roman" w:eastAsia="Times New Roman" w:cs="Times New Roman"/>
      <w:szCs w:val="20"/>
      <w:lang w:eastAsia="ru-RU"/>
    </w:rPr>
  </w:style>
  <w:style w:type="paragraph" w:styleId="966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967" w:customStyle="1">
    <w:name w:val="Интернет-ссылка"/>
    <w:rPr>
      <w:color w:val="0000ff"/>
      <w:u w:val="single"/>
      <w:lang w:val="ru-RU" w:eastAsia="ru-RU" w:bidi="ru-RU"/>
    </w:rPr>
  </w:style>
  <w:style w:type="character" w:styleId="968">
    <w:name w:val="annotation reference"/>
    <w:basedOn w:val="748"/>
    <w:semiHidden/>
    <w:unhideWhenUsed/>
    <w:rPr>
      <w:sz w:val="16"/>
      <w:szCs w:val="16"/>
    </w:rPr>
  </w:style>
  <w:style w:type="paragraph" w:styleId="969">
    <w:name w:val="annotation text"/>
    <w:basedOn w:val="738"/>
    <w:link w:val="970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0" w:customStyle="1">
    <w:name w:val="Текст примечания Знак"/>
    <w:basedOn w:val="748"/>
    <w:link w:val="96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1">
    <w:name w:val="annotation subject"/>
    <w:basedOn w:val="969"/>
    <w:next w:val="969"/>
    <w:link w:val="972"/>
    <w:semiHidden/>
    <w:unhideWhenUsed/>
    <w:rPr>
      <w:b/>
      <w:bCs/>
    </w:rPr>
  </w:style>
  <w:style w:type="character" w:styleId="972" w:customStyle="1">
    <w:name w:val="Тема примечания Знак"/>
    <w:basedOn w:val="970"/>
    <w:link w:val="971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73" w:customStyle="1">
    <w:name w:val="Lista Black"/>
    <w:basedOn w:val="934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974" w:customStyle="1">
    <w:name w:val="Основной текст (14)_"/>
    <w:basedOn w:val="748"/>
    <w:link w:val="975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975" w:customStyle="1">
    <w:name w:val="Основной текст (14)_3"/>
    <w:basedOn w:val="738"/>
    <w:link w:val="974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976" w:customStyle="1">
    <w:name w:val="Неразрешенное упоминание1"/>
    <w:basedOn w:val="748"/>
    <w:uiPriority w:val="99"/>
    <w:semiHidden/>
    <w:unhideWhenUsed/>
    <w:rPr>
      <w:color w:val="605e5c"/>
      <w:shd w:val="clear" w:color="auto" w:fill="e1dfdd"/>
    </w:rPr>
  </w:style>
  <w:style w:type="character" w:styleId="977" w:customStyle="1">
    <w:name w:val="Неразрешенное упоминание2"/>
    <w:basedOn w:val="748"/>
    <w:uiPriority w:val="99"/>
    <w:semiHidden/>
    <w:unhideWhenUsed/>
    <w:rPr>
      <w:color w:val="605e5c"/>
      <w:shd w:val="clear" w:color="auto" w:fill="e1dfdd"/>
    </w:rPr>
  </w:style>
  <w:style w:type="paragraph" w:styleId="978" w:customStyle="1">
    <w:name w:val="Table Paragraph"/>
    <w:basedOn w:val="738"/>
    <w:uiPriority w:val="1"/>
    <w:qFormat/>
    <w:pPr>
      <w:ind w:left="107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character" w:styleId="979" w:customStyle="1">
    <w:name w:val="Абзац списка Знак"/>
    <w:basedOn w:val="748"/>
    <w:link w:val="964"/>
    <w:uiPriority w:val="34"/>
    <w:rPr>
      <w:rFonts w:ascii="Calibri" w:hAnsi="Calibri" w:eastAsia="Calibri" w:cs="Times New Roman"/>
    </w:rPr>
  </w:style>
  <w:style w:type="paragraph" w:styleId="980">
    <w:name w:val="Subtitle"/>
    <w:basedOn w:val="738"/>
    <w:next w:val="738"/>
    <w:link w:val="761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81" w:customStyle="1">
    <w:name w:val="StGen0"/>
    <w:basedOn w:val="9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2" w:customStyle="1">
    <w:name w:val="StGen1"/>
    <w:basedOn w:val="9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3" w:customStyle="1">
    <w:name w:val="StGen2"/>
    <w:basedOn w:val="90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4" w:customStyle="1">
    <w:name w:val="StGen3"/>
    <w:basedOn w:val="9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5" w:customStyle="1">
    <w:name w:val="StGen4"/>
    <w:basedOn w:val="9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6" w:customStyle="1">
    <w:name w:val="StGen5"/>
    <w:basedOn w:val="9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7" w:customStyle="1">
    <w:name w:val="StGen6"/>
    <w:basedOn w:val="90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88" w:customStyle="1">
    <w:name w:val="StGen7"/>
    <w:basedOn w:val="905"/>
    <w:tblPr>
      <w:tblStyleRowBandSize w:val="1"/>
      <w:tblStyleColBandSize w:val="1"/>
      <w:tblCellMar>
        <w:left w:w="115" w:type="dxa"/>
        <w:top w:w="144" w:type="dxa"/>
        <w:right w:w="115" w:type="dxa"/>
        <w:bottom w:w="144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s://docs.google.com/spreadsheets/d/1Gpolrfr1qrxa_V-8tAiZjMe4Nk4S6SPp/edit" TargetMode="External"/><Relationship Id="rId14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C%D0%B0%D1%82%D1%80%D0%B8%D1%86%D0%B0.xlsx?sk=y35b16720b109c05cf51b5dd5cfc3a7e7" TargetMode="External"/><Relationship Id="rId15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BF%D0%BE%D1%8F%D1%81%D0%BD%D0%B5%D0%BD%D0%B8%D1%8F%20%D0%BA%20%D0%BC%D0%B0%D1%82%D1%80%D0%B8%D1%86%D0%B5.docx?sk=y35b16720b109c05cf51b5dd5cfc3a7e7" TargetMode="External"/><Relationship Id="rId16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A2%D0%B5%D1%85%D0%BD%D0%BE%D0%BB%D0%BE%D0%B3%D0%B8%D1%87%D0%B5%D1%81%D0%BA%D0%B8%D0%B5%20%D0%BA%D0%B0%D1%80%D1%82%D1%8B%2F%D0%A8%D0%B0%D0%B1%D0%BB%D0%BE%D0%BD%20%D0%A2%D0%9A.xlsx?sk=y35b16720b109c05cf51b5dd5cfc3a7e7" TargetMode="External"/><Relationship Id="rId17" Type="http://schemas.openxmlformats.org/officeDocument/2006/relationships/image" Target="media/image1.png"/><Relationship Id="rId18" Type="http://schemas.openxmlformats.org/officeDocument/2006/relationships/image" Target="media/image2.png"/><Relationship Id="rId19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BF%D0%BE%D1%8F%D1%81%D0%BD%D0%B5%D0%BD%D0%B8%D1%8F%20%D0%BA%20%D0%BC%D0%B0%D1%82%D1%80%D0%B8%D1%86%D0%B5.docx?sk=y35b16720b109c05cf51b5dd5cfc3a7e7" TargetMode="External"/><Relationship Id="rId20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C%D0%B0%D1%82%D1%80%D0%B8%D1%86%D0%B0.xlsx?sk=y35b16720b109c05cf51b5dd5cfc3a7e7" TargetMode="External"/><Relationship Id="rId21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A%D0%9E%20%D0%BD%D0%BE%D0%B2%D1%8B%D0%B5.xlsx?sk=y35b16720b109c05cf51b5dd5cfc3a7e7" TargetMode="External"/><Relationship Id="rId22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E%D0%A2%20%D0%B4%D0%BB%D1%8F%20%D0%A0%D0%A7%202023.docx?sk=y35b16720b109c05cf51b5dd5cfc3a7e7" TargetMode="External"/><Relationship Id="rId23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A%20-%20%D0%A0%D0%A7%202023.jpg" TargetMode="External"/><Relationship Id="rId24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1%20-%20%D0%A0%D0%A7%202023(1).jpg" TargetMode="External"/><Relationship Id="rId25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1%20-%20%D0%A0%D0%A7%202023(2)%20(2).jpg" TargetMode="External"/><Relationship Id="rId26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2%20-%20%D0%A0%D0%A7%202023.jpg" TargetMode="External"/><Relationship Id="rId27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3%20-%20%D0%A0%D0%A7%202023.jpg" TargetMode="External"/><Relationship Id="rId28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4%20-%20%D0%A0%D0%A7%202023.jpg" TargetMode="External"/><Relationship Id="rId29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5%20-%20%D0%A0%D0%A7%202023.jpg" TargetMode="External"/><Relationship Id="rId30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6%20-%20%D0%A0%D0%A7%202023(1).jpg" TargetMode="External"/><Relationship Id="rId31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6%20-%20%D0%A0%D0%A7%202023(2).jpg" TargetMode="External"/><Relationship Id="rId32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A2%D0%B5%D1%85%D0%BD%D0%BE%D0%BB%D0%BE%D0%B3%D0%B8%D1%87%D0%B5%D1%81%D0%BA%D0%B8%D0%B5%20%D0%BA%D0%B0%D1%80%D1%82%D1%8B%2F%D0%A8%D0%B0%D0%B1%D0%BB%D0%BE%D0%BD%20%D0%A2%D0%9A.xlsx?sk=y35b16720b109c05cf51b5dd5cfc3a7e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wRlATny86I5nicOo/A7fkI1r7w==">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</go:docsCustomData>
</go:gDocsCustomXmlDataStorage>
</file>

<file path=customXml/itemProps1.xml><?xml version="1.0" encoding="utf-8"?>
<ds:datastoreItem xmlns:ds="http://schemas.openxmlformats.org/officeDocument/2006/customXml" ds:itemID="{40B74B81-1EFD-DF49-8750-053DD96C5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Артур Ялаев</cp:lastModifiedBy>
  <cp:revision>6</cp:revision>
  <dcterms:created xsi:type="dcterms:W3CDTF">2023-01-12T11:30:00Z</dcterms:created>
  <dcterms:modified xsi:type="dcterms:W3CDTF">2023-02-15T07:27:11Z</dcterms:modified>
</cp:coreProperties>
</file>